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77951">
      <w:pPr>
        <w:jc w:val="center"/>
        <w:rPr>
          <w:rFonts w:ascii="Times New Roman" w:hAnsi="Times New Roman" w:cs="Times New Roman"/>
          <w:b/>
          <w:color w:val="000000"/>
          <w:sz w:val="32"/>
          <w:szCs w:val="32"/>
        </w:rPr>
      </w:pPr>
      <w:r>
        <w:rPr>
          <w:rFonts w:ascii="Times New Roman" w:hAnsi="Times New Roman" w:cs="Times New Roman"/>
          <w:b/>
          <w:sz w:val="32"/>
          <w:szCs w:val="32"/>
        </w:rPr>
        <w:t xml:space="preserve">ТЕРРИТОРИАЛЬНАЯ ИЗБИРАТЕЛЬНАЯ КОМИССИЯ № </w:t>
      </w:r>
      <w:r>
        <w:rPr>
          <w:rFonts w:hint="default" w:ascii="Times New Roman" w:hAnsi="Times New Roman" w:cs="Times New Roman"/>
          <w:b/>
          <w:sz w:val="32"/>
          <w:szCs w:val="32"/>
          <w:lang w:val="ru-RU"/>
        </w:rPr>
        <w:t>1</w:t>
      </w:r>
      <w:r>
        <w:rPr>
          <w:rFonts w:ascii="Times New Roman" w:hAnsi="Times New Roman" w:cs="Times New Roman"/>
          <w:b/>
          <w:sz w:val="32"/>
          <w:szCs w:val="32"/>
        </w:rPr>
        <w:t xml:space="preserve"> ОКТЯБРЬСКОГО ОКРУГА ГОРОДА ЛИПЕЦКА</w:t>
      </w:r>
    </w:p>
    <w:p w14:paraId="53E5E84C">
      <w:pPr>
        <w:jc w:val="center"/>
        <w:rPr>
          <w:rFonts w:ascii="Times New Roman" w:hAnsi="Times New Roman" w:cs="Times New Roman"/>
          <w:b/>
          <w:bCs/>
          <w:sz w:val="32"/>
          <w:szCs w:val="32"/>
        </w:rPr>
      </w:pPr>
    </w:p>
    <w:p w14:paraId="360D9D94">
      <w:pPr>
        <w:jc w:val="center"/>
        <w:rPr>
          <w:rFonts w:ascii="Times New Roman" w:hAnsi="Times New Roman" w:cs="Times New Roman"/>
          <w:b/>
          <w:bCs/>
          <w:sz w:val="32"/>
          <w:szCs w:val="32"/>
        </w:rPr>
      </w:pPr>
      <w:r>
        <w:rPr>
          <w:rFonts w:ascii="Times New Roman" w:hAnsi="Times New Roman" w:cs="Times New Roman"/>
          <w:b/>
          <w:bCs/>
          <w:sz w:val="32"/>
          <w:szCs w:val="32"/>
        </w:rPr>
        <w:t>ПОСТАНОВЛЕНИЕ</w:t>
      </w:r>
    </w:p>
    <w:tbl>
      <w:tblPr>
        <w:tblStyle w:val="5"/>
        <w:tblW w:w="10194" w:type="dxa"/>
        <w:tblInd w:w="0" w:type="dxa"/>
        <w:tblLayout w:type="autofit"/>
        <w:tblCellMar>
          <w:top w:w="0" w:type="dxa"/>
          <w:left w:w="108" w:type="dxa"/>
          <w:bottom w:w="0" w:type="dxa"/>
          <w:right w:w="108" w:type="dxa"/>
        </w:tblCellMar>
      </w:tblPr>
      <w:tblGrid>
        <w:gridCol w:w="3224"/>
        <w:gridCol w:w="2204"/>
        <w:gridCol w:w="2204"/>
        <w:gridCol w:w="831"/>
        <w:gridCol w:w="1731"/>
      </w:tblGrid>
      <w:tr w14:paraId="386E1215">
        <w:tblPrEx>
          <w:tblCellMar>
            <w:top w:w="0" w:type="dxa"/>
            <w:left w:w="108" w:type="dxa"/>
            <w:bottom w:w="0" w:type="dxa"/>
            <w:right w:w="108" w:type="dxa"/>
          </w:tblCellMar>
        </w:tblPrEx>
        <w:trPr>
          <w:trHeight w:val="198" w:hRule="atLeast"/>
        </w:trPr>
        <w:tc>
          <w:tcPr>
            <w:tcW w:w="3224" w:type="dxa"/>
          </w:tcPr>
          <w:p w14:paraId="4362F4CE">
            <w:pPr>
              <w:spacing w:after="0"/>
              <w:jc w:val="center"/>
              <w:rPr>
                <w:rFonts w:ascii="Times New Roman" w:hAnsi="Times New Roman" w:cs="Times New Roman"/>
                <w:color w:val="000000"/>
                <w:sz w:val="28"/>
                <w:szCs w:val="28"/>
              </w:rPr>
            </w:pPr>
            <w:r>
              <w:rPr>
                <w:rFonts w:hint="default" w:ascii="Times New Roman" w:hAnsi="Times New Roman" w:cs="Times New Roman"/>
                <w:color w:val="000000"/>
                <w:sz w:val="28"/>
                <w:szCs w:val="28"/>
                <w:lang w:val="ru-RU"/>
              </w:rPr>
              <w:t>19</w:t>
            </w:r>
            <w:r>
              <w:rPr>
                <w:rFonts w:ascii="Times New Roman" w:hAnsi="Times New Roman" w:cs="Times New Roman"/>
                <w:color w:val="000000"/>
                <w:sz w:val="28"/>
                <w:szCs w:val="28"/>
              </w:rPr>
              <w:t xml:space="preserve"> июня 2025 года</w:t>
            </w:r>
          </w:p>
        </w:tc>
        <w:tc>
          <w:tcPr>
            <w:tcW w:w="2204" w:type="dxa"/>
          </w:tcPr>
          <w:p w14:paraId="46566BF6">
            <w:pPr>
              <w:spacing w:after="0"/>
              <w:jc w:val="center"/>
              <w:rPr>
                <w:rFonts w:ascii="Times New Roman" w:hAnsi="Times New Roman" w:cs="Times New Roman"/>
                <w:color w:val="000000"/>
                <w:sz w:val="28"/>
                <w:szCs w:val="28"/>
              </w:rPr>
            </w:pPr>
          </w:p>
        </w:tc>
        <w:tc>
          <w:tcPr>
            <w:tcW w:w="2204" w:type="dxa"/>
          </w:tcPr>
          <w:p w14:paraId="7C789022">
            <w:pPr>
              <w:spacing w:after="0"/>
              <w:jc w:val="center"/>
              <w:rPr>
                <w:rFonts w:ascii="Times New Roman" w:hAnsi="Times New Roman" w:cs="Times New Roman"/>
                <w:color w:val="000000"/>
                <w:sz w:val="28"/>
                <w:szCs w:val="28"/>
              </w:rPr>
            </w:pPr>
          </w:p>
        </w:tc>
        <w:tc>
          <w:tcPr>
            <w:tcW w:w="831" w:type="dxa"/>
          </w:tcPr>
          <w:p w14:paraId="383E6B67">
            <w:pPr>
              <w:spacing w:after="0"/>
              <w:jc w:val="center"/>
              <w:rPr>
                <w:rFonts w:ascii="Times New Roman" w:hAnsi="Times New Roman" w:cs="Times New Roman"/>
                <w:color w:val="000000"/>
                <w:sz w:val="28"/>
                <w:szCs w:val="28"/>
              </w:rPr>
            </w:pPr>
            <w:r>
              <w:rPr>
                <w:rFonts w:ascii="Times New Roman" w:hAnsi="Times New Roman" w:cs="Times New Roman"/>
                <w:color w:val="000000"/>
                <w:sz w:val="28"/>
                <w:szCs w:val="28"/>
              </w:rPr>
              <w:t>№</w:t>
            </w:r>
          </w:p>
        </w:tc>
        <w:tc>
          <w:tcPr>
            <w:tcW w:w="1731" w:type="dxa"/>
            <w:tcBorders>
              <w:bottom w:val="single" w:color="auto" w:sz="4" w:space="0"/>
            </w:tcBorders>
          </w:tcPr>
          <w:p w14:paraId="4DAB1C6B">
            <w:pPr>
              <w:spacing w:after="0"/>
              <w:jc w:val="center"/>
              <w:rPr>
                <w:rFonts w:hint="default" w:ascii="Times New Roman" w:hAnsi="Times New Roman" w:cs="Times New Roman"/>
                <w:color w:val="000000"/>
                <w:sz w:val="28"/>
                <w:szCs w:val="28"/>
                <w:lang w:val="ru-RU"/>
              </w:rPr>
            </w:pPr>
            <w:r>
              <w:rPr>
                <w:rFonts w:ascii="Times New Roman" w:hAnsi="Times New Roman" w:cs="Times New Roman"/>
                <w:color w:val="000000"/>
                <w:sz w:val="28"/>
                <w:szCs w:val="28"/>
              </w:rPr>
              <w:t>7</w:t>
            </w:r>
            <w:r>
              <w:rPr>
                <w:rFonts w:hint="default" w:ascii="Times New Roman" w:hAnsi="Times New Roman" w:cs="Times New Roman"/>
                <w:color w:val="000000"/>
                <w:sz w:val="28"/>
                <w:szCs w:val="28"/>
                <w:lang w:val="ru-RU"/>
              </w:rPr>
              <w:t>7</w:t>
            </w:r>
            <w:r>
              <w:rPr>
                <w:rFonts w:ascii="Times New Roman" w:hAnsi="Times New Roman" w:cs="Times New Roman"/>
                <w:color w:val="000000"/>
                <w:sz w:val="28"/>
                <w:szCs w:val="28"/>
              </w:rPr>
              <w:t>/</w:t>
            </w:r>
            <w:r>
              <w:rPr>
                <w:rFonts w:hint="default" w:ascii="Times New Roman" w:hAnsi="Times New Roman" w:cs="Times New Roman"/>
                <w:color w:val="000000"/>
                <w:sz w:val="28"/>
                <w:szCs w:val="28"/>
                <w:lang w:val="ru-RU"/>
              </w:rPr>
              <w:t>580</w:t>
            </w:r>
          </w:p>
        </w:tc>
      </w:tr>
    </w:tbl>
    <w:p w14:paraId="4F4514DA">
      <w:pPr>
        <w:spacing w:after="0" w:line="240" w:lineRule="auto"/>
        <w:ind w:firstLine="567"/>
        <w:jc w:val="center"/>
        <w:rPr>
          <w:rFonts w:ascii="Times New Roman" w:hAnsi="Times New Roman" w:eastAsia="Times New Roman" w:cs="Times New Roman"/>
          <w:b/>
          <w:bCs/>
          <w:color w:val="000000" w:themeColor="text1"/>
          <w:sz w:val="28"/>
          <w:szCs w:val="28"/>
          <w:lang w:eastAsia="ru-RU"/>
          <w14:textFill>
            <w14:solidFill>
              <w14:schemeClr w14:val="tx1"/>
            </w14:solidFill>
          </w14:textFill>
        </w:rPr>
      </w:pPr>
    </w:p>
    <w:p w14:paraId="0B8E376E">
      <w:pPr>
        <w:jc w:val="center"/>
        <w:rPr>
          <w:rFonts w:hint="default" w:ascii="Times New Roman" w:hAnsi="Times New Roman" w:cs="Times New Roman"/>
          <w:sz w:val="28"/>
          <w:szCs w:val="28"/>
        </w:rPr>
      </w:pPr>
      <w:r>
        <w:rPr>
          <w:rFonts w:hint="default" w:ascii="Times New Roman" w:hAnsi="Times New Roman" w:cs="Times New Roman"/>
          <w:sz w:val="28"/>
          <w:szCs w:val="28"/>
        </w:rPr>
        <w:t>г. Липецк, ул. Советская, д. 68</w:t>
      </w:r>
    </w:p>
    <w:p w14:paraId="19B82A48">
      <w:pPr>
        <w:spacing w:after="0" w:line="240" w:lineRule="auto"/>
        <w:ind w:firstLine="567"/>
        <w:jc w:val="center"/>
        <w:rPr>
          <w:rFonts w:ascii="Times New Roman" w:hAnsi="Times New Roman" w:eastAsia="Times New Roman" w:cs="Times New Roman"/>
          <w:b/>
          <w:bCs/>
          <w:color w:val="000000" w:themeColor="text1"/>
          <w:sz w:val="28"/>
          <w:szCs w:val="28"/>
          <w:lang w:eastAsia="ru-RU"/>
          <w14:textFill>
            <w14:solidFill>
              <w14:schemeClr w14:val="tx1"/>
            </w14:solidFill>
          </w14:textFill>
        </w:rPr>
      </w:pPr>
    </w:p>
    <w:p w14:paraId="283DCE6E">
      <w:pPr>
        <w:spacing w:after="0" w:line="240" w:lineRule="auto"/>
        <w:ind w:firstLine="567"/>
        <w:jc w:val="center"/>
        <w:rPr>
          <w:rFonts w:ascii="Times New Roman" w:hAnsi="Times New Roman" w:eastAsia="Times New Roman" w:cs="Times New Roman"/>
          <w:b/>
          <w:bCs/>
          <w:color w:val="000000" w:themeColor="text1"/>
          <w:sz w:val="20"/>
          <w:szCs w:val="20"/>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 xml:space="preserve">О Положении о Рабочей группе по приему и проверке документов, представляемых в территориальную избирательную комиссию № </w:t>
      </w:r>
      <w:r>
        <w:rPr>
          <w:rFonts w:hint="default" w:ascii="Times New Roman" w:hAnsi="Times New Roman" w:eastAsia="Times New Roman" w:cs="Times New Roman"/>
          <w:b/>
          <w:bCs/>
          <w:color w:val="000000" w:themeColor="text1"/>
          <w:sz w:val="28"/>
          <w:szCs w:val="28"/>
          <w:lang w:val="en-US" w:eastAsia="ru-RU"/>
          <w14:textFill>
            <w14:solidFill>
              <w14:schemeClr w14:val="tx1"/>
            </w14:solidFill>
          </w14:textFill>
        </w:rPr>
        <w:t>1</w:t>
      </w:r>
      <w:r>
        <w:rPr>
          <w:rFonts w:ascii="Times New Roman" w:hAnsi="Times New Roman" w:eastAsia="Times New Roman" w:cs="Times New Roman"/>
          <w:b/>
          <w:bCs/>
          <w:color w:val="000000" w:themeColor="text1"/>
          <w:sz w:val="28"/>
          <w:szCs w:val="28"/>
          <w:lang w:eastAsia="ru-RU"/>
          <w14:textFill>
            <w14:solidFill>
              <w14:schemeClr w14:val="tx1"/>
            </w14:solidFill>
          </w14:textFill>
        </w:rPr>
        <w:t xml:space="preserve"> Октябрьского округа города Липецка</w:t>
      </w:r>
    </w:p>
    <w:p w14:paraId="662526A1">
      <w:pPr>
        <w:pStyle w:val="9"/>
        <w:jc w:val="center"/>
        <w:rPr>
          <w:b/>
          <w:bCs/>
        </w:rPr>
      </w:pPr>
      <w:r>
        <w:rPr>
          <w:b/>
          <w:bCs/>
          <w:color w:val="000000" w:themeColor="text1"/>
          <w:szCs w:val="28"/>
          <w14:textFill>
            <w14:solidFill>
              <w14:schemeClr w14:val="tx1"/>
            </w14:solidFill>
          </w14:textFill>
        </w:rPr>
        <w:t xml:space="preserve">кандидатами </w:t>
      </w:r>
      <w:r>
        <w:rPr>
          <w:b/>
          <w:bCs/>
          <w:szCs w:val="28"/>
        </w:rPr>
        <w:t xml:space="preserve">при проведении выборов </w:t>
      </w:r>
      <w:r>
        <w:rPr>
          <w:b/>
          <w:bCs/>
        </w:rPr>
        <w:t>депутатов Липецкого городского Совета депутатов седьмого созыва</w:t>
      </w:r>
    </w:p>
    <w:p w14:paraId="3A47D212">
      <w:pPr>
        <w:spacing w:after="0" w:line="240" w:lineRule="auto"/>
        <w:jc w:val="center"/>
        <w:rPr>
          <w:rFonts w:ascii="Times New Roman" w:hAnsi="Times New Roman"/>
          <w:b/>
          <w:sz w:val="28"/>
          <w:szCs w:val="28"/>
        </w:rPr>
      </w:pPr>
      <w:r>
        <w:rPr>
          <w:rFonts w:ascii="Times New Roman" w:hAnsi="Times New Roman"/>
          <w:b/>
          <w:sz w:val="28"/>
          <w:szCs w:val="28"/>
        </w:rPr>
        <w:t>14 сентября 2025 года</w:t>
      </w:r>
    </w:p>
    <w:p w14:paraId="7052BF5F">
      <w:pPr>
        <w:spacing w:after="0" w:line="360" w:lineRule="auto"/>
        <w:rPr>
          <w:rFonts w:ascii="Times New Roman CYR" w:hAnsi="Times New Roman CYR"/>
          <w:b/>
          <w:sz w:val="20"/>
          <w:szCs w:val="20"/>
        </w:rPr>
      </w:pPr>
    </w:p>
    <w:p w14:paraId="3184A09D">
      <w:pPr>
        <w:tabs>
          <w:tab w:val="left" w:pos="-2250"/>
        </w:tabs>
        <w:spacing w:after="0" w:line="276"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В соответствии со статьями 31 - 34 и частью 2 статьи 36 Закона Липецкой области от 6 июня 2007 года № 60-ОЗ «О выборах депутатов представительных органов муниципальных образований в Липецкой области», </w:t>
      </w:r>
      <w:bookmarkStart w:id="0" w:name="_Hlk40717153"/>
      <w:bookmarkStart w:id="1" w:name="_Hlk40879436"/>
      <w:r>
        <w:rPr>
          <w:rFonts w:ascii="Times New Roman" w:hAnsi="Times New Roman" w:eastAsia="Times New Roman" w:cs="Times New Roman"/>
          <w:sz w:val="28"/>
          <w:szCs w:val="28"/>
          <w:lang w:eastAsia="ru-RU"/>
        </w:rPr>
        <w:t xml:space="preserve">постановлением избирательной комиссии Липецкой области от 20 марта 2025 года </w:t>
      </w:r>
      <w:r>
        <w:rPr>
          <w:rFonts w:ascii="Times New Roman" w:hAnsi="Times New Roman" w:cs="Times New Roman"/>
          <w:bCs/>
          <w:sz w:val="28"/>
          <w:szCs w:val="28"/>
        </w:rPr>
        <w:t xml:space="preserve">№ </w:t>
      </w:r>
      <w:r>
        <w:rPr>
          <w:rFonts w:ascii="Times New Roman" w:hAnsi="Times New Roman" w:cs="Times New Roman"/>
          <w:sz w:val="28"/>
          <w:szCs w:val="28"/>
        </w:rPr>
        <w:t>79/780-7</w:t>
      </w:r>
      <w:r>
        <w:rPr>
          <w:sz w:val="28"/>
          <w:szCs w:val="28"/>
        </w:rPr>
        <w:t xml:space="preserve"> </w:t>
      </w:r>
      <w:r>
        <w:rPr>
          <w:rFonts w:ascii="Times New Roman" w:hAnsi="Times New Roman" w:cs="Times New Roman"/>
          <w:bCs/>
          <w:sz w:val="28"/>
          <w:szCs w:val="28"/>
        </w:rPr>
        <w:t>«О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w:t>
      </w:r>
      <w:r>
        <w:rPr>
          <w:rFonts w:ascii="Times New Roman" w:hAnsi="Times New Roman" w:cs="Times New Roman"/>
          <w:sz w:val="28"/>
          <w:szCs w:val="28"/>
        </w:rPr>
        <w:t xml:space="preserve"> территориальная избирательная комиссия № </w:t>
      </w:r>
      <w:r>
        <w:rPr>
          <w:rFonts w:hint="default" w:ascii="Times New Roman" w:hAnsi="Times New Roman" w:cs="Times New Roman"/>
          <w:sz w:val="28"/>
          <w:szCs w:val="28"/>
          <w:lang w:val="ru-RU"/>
        </w:rPr>
        <w:t>1</w:t>
      </w:r>
      <w:r>
        <w:rPr>
          <w:rFonts w:ascii="Times New Roman" w:hAnsi="Times New Roman" w:cs="Times New Roman"/>
          <w:sz w:val="28"/>
          <w:szCs w:val="28"/>
        </w:rPr>
        <w:t xml:space="preserve"> Октябрьского округа города Липецка</w:t>
      </w:r>
      <w:r>
        <w:rPr>
          <w:rFonts w:ascii="Times New Roman" w:hAnsi="Times New Roman" w:eastAsia="Times New Roman" w:cs="Times New Roman"/>
          <w:sz w:val="28"/>
          <w:szCs w:val="28"/>
          <w:lang w:eastAsia="ru-RU"/>
        </w:rPr>
        <w:t xml:space="preserve"> комиссия</w:t>
      </w:r>
      <w:r>
        <w:rPr>
          <w:rFonts w:ascii="Times New Roman" w:hAnsi="Times New Roman" w:eastAsia="Times New Roman" w:cs="Times New Roman"/>
          <w:b/>
          <w:sz w:val="28"/>
          <w:szCs w:val="28"/>
          <w:lang w:eastAsia="ru-RU"/>
        </w:rPr>
        <w:t xml:space="preserve"> постановляет</w:t>
      </w:r>
      <w:r>
        <w:rPr>
          <w:rFonts w:ascii="Times New Roman" w:hAnsi="Times New Roman" w:eastAsia="Times New Roman" w:cs="Times New Roman"/>
          <w:sz w:val="28"/>
          <w:szCs w:val="28"/>
          <w:lang w:eastAsia="ru-RU"/>
        </w:rPr>
        <w:t>:</w:t>
      </w:r>
      <w:bookmarkEnd w:id="0"/>
    </w:p>
    <w:bookmarkEnd w:id="1"/>
    <w:p w14:paraId="48127FAD">
      <w:pPr>
        <w:spacing w:after="0" w:line="276" w:lineRule="auto"/>
        <w:ind w:firstLine="709"/>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1.Утвердить Положение о Рабочей группе по приему и проверке документов, представляемых в территориальную избирательную комиссию № </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1</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 Октябрьского округа города Липецка кандидатами при проведении выборов депутатов Липецкого городского Совета депутатов седьмого созыва 14 сентября 2025 года (прилагается).</w:t>
      </w:r>
    </w:p>
    <w:p w14:paraId="08B8E51F">
      <w:pPr>
        <w:spacing w:after="0" w:line="276" w:lineRule="auto"/>
        <w:ind w:firstLine="709"/>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 2. Разместить настоящее постановление на сайте территориальной избирательной комиссии № </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1</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 Октябрьского округа города Липецка.</w:t>
      </w:r>
    </w:p>
    <w:p w14:paraId="383A7E80">
      <w:pPr>
        <w:pStyle w:val="9"/>
        <w:rPr>
          <w:b/>
          <w:bCs/>
          <w:sz w:val="24"/>
        </w:rPr>
      </w:pPr>
    </w:p>
    <w:p w14:paraId="3713BCBB">
      <w:pPr>
        <w:pStyle w:val="9"/>
        <w:rPr>
          <w:b/>
          <w:bCs/>
          <w:sz w:val="24"/>
        </w:rPr>
      </w:pPr>
    </w:p>
    <w:p w14:paraId="0B3C2FAC">
      <w:pPr>
        <w:pStyle w:val="9"/>
        <w:rPr>
          <w:b/>
          <w:bCs/>
          <w:sz w:val="24"/>
        </w:rPr>
      </w:pPr>
    </w:p>
    <w:p w14:paraId="2D4EBBFE">
      <w:pPr>
        <w:pStyle w:val="18"/>
        <w:keepNext w:val="0"/>
        <w:keepLines w:val="0"/>
        <w:pageBreakBefore w:val="0"/>
        <w:widowControl/>
        <w:kinsoku/>
        <w:wordWrap/>
        <w:overflowPunct/>
        <w:topLinePunct w:val="0"/>
        <w:autoSpaceDE/>
        <w:autoSpaceDN/>
        <w:bidi w:val="0"/>
        <w:adjustRightInd/>
        <w:snapToGrid/>
        <w:spacing w:after="0" w:line="240" w:lineRule="auto"/>
        <w:ind w:firstLine="0"/>
        <w:textAlignment w:val="auto"/>
        <w:rPr>
          <w:rFonts w:hint="default" w:ascii="Times New Roman" w:hAnsi="Times New Roman" w:cs="Times New Roman"/>
          <w:b/>
          <w:sz w:val="28"/>
          <w:szCs w:val="28"/>
        </w:rPr>
      </w:pPr>
      <w:r>
        <w:rPr>
          <w:rFonts w:hint="default" w:ascii="Times New Roman" w:hAnsi="Times New Roman" w:cs="Times New Roman"/>
          <w:b/>
          <w:sz w:val="28"/>
          <w:szCs w:val="28"/>
        </w:rPr>
        <w:t>Председатель территориальной</w:t>
      </w:r>
    </w:p>
    <w:p w14:paraId="38C3E00F">
      <w:pPr>
        <w:pStyle w:val="18"/>
        <w:keepNext w:val="0"/>
        <w:keepLines w:val="0"/>
        <w:pageBreakBefore w:val="0"/>
        <w:widowControl/>
        <w:kinsoku/>
        <w:wordWrap/>
        <w:overflowPunct/>
        <w:topLinePunct w:val="0"/>
        <w:autoSpaceDE/>
        <w:autoSpaceDN/>
        <w:bidi w:val="0"/>
        <w:adjustRightInd/>
        <w:snapToGrid/>
        <w:spacing w:after="0" w:line="240" w:lineRule="auto"/>
        <w:ind w:firstLine="0"/>
        <w:textAlignment w:val="auto"/>
        <w:rPr>
          <w:rFonts w:hint="default" w:ascii="Times New Roman" w:hAnsi="Times New Roman" w:cs="Times New Roman"/>
          <w:b/>
          <w:sz w:val="28"/>
          <w:szCs w:val="28"/>
        </w:rPr>
      </w:pPr>
      <w:r>
        <w:rPr>
          <w:rFonts w:hint="default" w:ascii="Times New Roman" w:hAnsi="Times New Roman" w:cs="Times New Roman"/>
          <w:b/>
          <w:sz w:val="28"/>
          <w:szCs w:val="28"/>
        </w:rPr>
        <w:t>избирательной комиссии № 1</w:t>
      </w:r>
    </w:p>
    <w:p w14:paraId="4EEBB351">
      <w:pPr>
        <w:pStyle w:val="18"/>
        <w:keepNext w:val="0"/>
        <w:keepLines w:val="0"/>
        <w:pageBreakBefore w:val="0"/>
        <w:widowControl/>
        <w:kinsoku/>
        <w:wordWrap/>
        <w:overflowPunct/>
        <w:topLinePunct w:val="0"/>
        <w:autoSpaceDE/>
        <w:autoSpaceDN/>
        <w:bidi w:val="0"/>
        <w:adjustRightInd/>
        <w:snapToGrid/>
        <w:spacing w:after="0" w:line="240" w:lineRule="auto"/>
        <w:ind w:firstLine="0"/>
        <w:textAlignment w:val="auto"/>
        <w:rPr>
          <w:rFonts w:hint="default" w:ascii="Times New Roman" w:hAnsi="Times New Roman" w:cs="Times New Roman"/>
          <w:b/>
          <w:sz w:val="28"/>
          <w:szCs w:val="28"/>
        </w:rPr>
      </w:pPr>
      <w:r>
        <w:rPr>
          <w:rFonts w:hint="default" w:ascii="Times New Roman" w:hAnsi="Times New Roman" w:cs="Times New Roman"/>
          <w:b/>
          <w:sz w:val="28"/>
          <w:szCs w:val="28"/>
        </w:rPr>
        <w:t>Октябрьского округа города Липецка</w:t>
      </w:r>
      <w:r>
        <w:rPr>
          <w:rFonts w:hint="default" w:ascii="Times New Roman" w:hAnsi="Times New Roman" w:cs="Times New Roman"/>
          <w:b/>
          <w:sz w:val="28"/>
          <w:szCs w:val="28"/>
        </w:rPr>
        <w:tab/>
      </w:r>
      <w:r>
        <w:rPr>
          <w:rFonts w:hint="default" w:ascii="Times New Roman" w:hAnsi="Times New Roman" w:cs="Times New Roman"/>
          <w:b/>
          <w:sz w:val="28"/>
          <w:szCs w:val="28"/>
        </w:rPr>
        <w:tab/>
      </w:r>
      <w:r>
        <w:rPr>
          <w:rFonts w:hint="default" w:ascii="Times New Roman" w:hAnsi="Times New Roman" w:cs="Times New Roman"/>
          <w:b/>
          <w:sz w:val="28"/>
          <w:szCs w:val="28"/>
        </w:rPr>
        <w:tab/>
      </w:r>
      <w:r>
        <w:rPr>
          <w:rFonts w:hint="default" w:ascii="Times New Roman" w:hAnsi="Times New Roman" w:cs="Times New Roman"/>
          <w:b/>
          <w:sz w:val="28"/>
          <w:szCs w:val="28"/>
        </w:rPr>
        <w:tab/>
      </w:r>
      <w:r>
        <w:rPr>
          <w:rFonts w:hint="default" w:ascii="Times New Roman" w:hAnsi="Times New Roman" w:cs="Times New Roman"/>
          <w:b/>
          <w:sz w:val="28"/>
          <w:szCs w:val="28"/>
        </w:rPr>
        <w:t>Н.В. БУРАКОВА</w:t>
      </w:r>
    </w:p>
    <w:p w14:paraId="337D37BD">
      <w:pPr>
        <w:pStyle w:val="18"/>
        <w:keepNext w:val="0"/>
        <w:keepLines w:val="0"/>
        <w:pageBreakBefore w:val="0"/>
        <w:widowControl/>
        <w:kinsoku/>
        <w:wordWrap/>
        <w:overflowPunct/>
        <w:topLinePunct w:val="0"/>
        <w:autoSpaceDE/>
        <w:autoSpaceDN/>
        <w:bidi w:val="0"/>
        <w:adjustRightInd/>
        <w:snapToGrid/>
        <w:spacing w:after="0" w:line="240" w:lineRule="auto"/>
        <w:ind w:firstLine="708"/>
        <w:textAlignment w:val="auto"/>
        <w:rPr>
          <w:rFonts w:hint="default" w:ascii="Times New Roman" w:hAnsi="Times New Roman" w:cs="Times New Roman"/>
          <w:b/>
          <w:sz w:val="28"/>
          <w:szCs w:val="28"/>
        </w:rPr>
      </w:pPr>
      <w:r>
        <w:rPr>
          <w:rFonts w:hint="default" w:ascii="Times New Roman" w:hAnsi="Times New Roman" w:cs="Times New Roman"/>
          <w:b/>
          <w:sz w:val="28"/>
          <w:szCs w:val="28"/>
        </w:rPr>
        <w:tab/>
      </w:r>
      <w:r>
        <w:rPr>
          <w:rFonts w:hint="default" w:ascii="Times New Roman" w:hAnsi="Times New Roman" w:cs="Times New Roman"/>
          <w:b/>
          <w:sz w:val="28"/>
          <w:szCs w:val="28"/>
        </w:rPr>
        <w:tab/>
      </w:r>
      <w:r>
        <w:rPr>
          <w:rFonts w:hint="default" w:ascii="Times New Roman" w:hAnsi="Times New Roman" w:cs="Times New Roman"/>
          <w:b/>
          <w:sz w:val="28"/>
          <w:szCs w:val="28"/>
        </w:rPr>
        <w:tab/>
      </w:r>
    </w:p>
    <w:p w14:paraId="27E26DB4">
      <w:pPr>
        <w:pStyle w:val="18"/>
        <w:keepNext w:val="0"/>
        <w:keepLines w:val="0"/>
        <w:pageBreakBefore w:val="0"/>
        <w:widowControl/>
        <w:kinsoku/>
        <w:wordWrap/>
        <w:overflowPunct/>
        <w:topLinePunct w:val="0"/>
        <w:autoSpaceDE/>
        <w:autoSpaceDN/>
        <w:bidi w:val="0"/>
        <w:adjustRightInd/>
        <w:snapToGrid/>
        <w:spacing w:after="0" w:line="240" w:lineRule="auto"/>
        <w:ind w:firstLine="0"/>
        <w:textAlignment w:val="auto"/>
        <w:rPr>
          <w:rFonts w:hint="default" w:ascii="Times New Roman" w:hAnsi="Times New Roman" w:cs="Times New Roman"/>
          <w:b/>
          <w:sz w:val="28"/>
          <w:szCs w:val="28"/>
        </w:rPr>
      </w:pPr>
      <w:r>
        <w:rPr>
          <w:rFonts w:hint="default" w:ascii="Times New Roman" w:hAnsi="Times New Roman" w:cs="Times New Roman"/>
          <w:b/>
          <w:sz w:val="28"/>
          <w:szCs w:val="28"/>
        </w:rPr>
        <w:t>Секретарь территориальной</w:t>
      </w:r>
    </w:p>
    <w:p w14:paraId="20554099">
      <w:pPr>
        <w:pStyle w:val="18"/>
        <w:keepNext w:val="0"/>
        <w:keepLines w:val="0"/>
        <w:pageBreakBefore w:val="0"/>
        <w:widowControl/>
        <w:kinsoku/>
        <w:wordWrap/>
        <w:overflowPunct/>
        <w:topLinePunct w:val="0"/>
        <w:autoSpaceDE/>
        <w:autoSpaceDN/>
        <w:bidi w:val="0"/>
        <w:adjustRightInd/>
        <w:snapToGrid/>
        <w:spacing w:after="0" w:line="240" w:lineRule="auto"/>
        <w:ind w:firstLine="0"/>
        <w:textAlignment w:val="auto"/>
        <w:rPr>
          <w:rFonts w:hint="default" w:ascii="Times New Roman" w:hAnsi="Times New Roman" w:cs="Times New Roman"/>
          <w:b/>
          <w:sz w:val="28"/>
          <w:szCs w:val="28"/>
        </w:rPr>
      </w:pPr>
      <w:r>
        <w:rPr>
          <w:rFonts w:hint="default" w:ascii="Times New Roman" w:hAnsi="Times New Roman" w:cs="Times New Roman"/>
          <w:b/>
          <w:sz w:val="28"/>
          <w:szCs w:val="28"/>
        </w:rPr>
        <w:t>избирательной комиссии № 1</w:t>
      </w:r>
    </w:p>
    <w:p w14:paraId="36285F4D">
      <w:pPr>
        <w:pStyle w:val="18"/>
        <w:keepNext w:val="0"/>
        <w:keepLines w:val="0"/>
        <w:pageBreakBefore w:val="0"/>
        <w:widowControl/>
        <w:kinsoku/>
        <w:wordWrap/>
        <w:overflowPunct/>
        <w:topLinePunct w:val="0"/>
        <w:autoSpaceDE/>
        <w:autoSpaceDN/>
        <w:bidi w:val="0"/>
        <w:adjustRightInd/>
        <w:snapToGrid/>
        <w:spacing w:after="0" w:line="240" w:lineRule="auto"/>
        <w:ind w:firstLine="0"/>
        <w:textAlignment w:val="auto"/>
        <w:rPr>
          <w:rFonts w:hint="default" w:ascii="Times New Roman" w:hAnsi="Times New Roman" w:cs="Times New Roman"/>
          <w:b/>
          <w:sz w:val="28"/>
          <w:szCs w:val="28"/>
        </w:rPr>
      </w:pPr>
      <w:r>
        <w:rPr>
          <w:rFonts w:hint="default" w:ascii="Times New Roman" w:hAnsi="Times New Roman" w:cs="Times New Roman"/>
          <w:b/>
          <w:sz w:val="28"/>
          <w:szCs w:val="28"/>
        </w:rPr>
        <w:t>Октябрьского округа города Липецка</w:t>
      </w:r>
      <w:r>
        <w:rPr>
          <w:rFonts w:hint="default" w:ascii="Times New Roman" w:hAnsi="Times New Roman" w:cs="Times New Roman"/>
          <w:b/>
          <w:sz w:val="28"/>
          <w:szCs w:val="28"/>
        </w:rPr>
        <w:tab/>
      </w:r>
      <w:r>
        <w:rPr>
          <w:rFonts w:hint="default" w:ascii="Times New Roman" w:hAnsi="Times New Roman" w:cs="Times New Roman"/>
          <w:b/>
          <w:sz w:val="28"/>
          <w:szCs w:val="28"/>
        </w:rPr>
        <w:t xml:space="preserve">                        И.С. КУПРИЯНОВА</w:t>
      </w:r>
    </w:p>
    <w:p w14:paraId="72E041FE">
      <w:pPr>
        <w:ind w:left="5103"/>
        <w:rPr>
          <w:rFonts w:ascii="Times New Roman" w:hAnsi="Times New Roman" w:eastAsia="Times New Roman" w:cs="Times New Roman"/>
          <w:color w:val="000000" w:themeColor="text1"/>
          <w:sz w:val="24"/>
          <w:szCs w:val="24"/>
          <w:lang w:eastAsia="ru-RU"/>
          <w14:textFill>
            <w14:solidFill>
              <w14:schemeClr w14:val="tx1"/>
            </w14:solidFill>
          </w14:textFill>
        </w:rPr>
      </w:pPr>
    </w:p>
    <w:p w14:paraId="6BA4EB9D">
      <w:pPr>
        <w:spacing w:after="0" w:line="240" w:lineRule="auto"/>
        <w:ind w:left="5103" w:firstLine="567"/>
        <w:jc w:val="center"/>
        <w:rPr>
          <w:rFonts w:ascii="Times New Roman" w:hAnsi="Times New Roman" w:eastAsia="Times New Roman" w:cs="Times New Roman"/>
          <w:color w:val="000000" w:themeColor="text1"/>
          <w:sz w:val="24"/>
          <w:szCs w:val="24"/>
          <w:lang w:eastAsia="ru-RU"/>
          <w14:textFill>
            <w14:solidFill>
              <w14:schemeClr w14:val="tx1"/>
            </w14:solidFill>
          </w14:textFill>
        </w:rPr>
      </w:pPr>
      <w:r>
        <w:rPr>
          <w:rFonts w:ascii="Times New Roman" w:hAnsi="Times New Roman" w:eastAsia="Times New Roman" w:cs="Times New Roman"/>
          <w:color w:val="000000" w:themeColor="text1"/>
          <w:sz w:val="24"/>
          <w:szCs w:val="24"/>
          <w:lang w:eastAsia="ru-RU"/>
          <w14:textFill>
            <w14:solidFill>
              <w14:schemeClr w14:val="tx1"/>
            </w14:solidFill>
          </w14:textFill>
        </w:rPr>
        <w:t>УТВЕРЖДЕНО</w:t>
      </w:r>
    </w:p>
    <w:p w14:paraId="30EFC81E">
      <w:pPr>
        <w:spacing w:after="0" w:line="240" w:lineRule="auto"/>
        <w:ind w:left="5103" w:firstLine="567"/>
        <w:jc w:val="center"/>
        <w:rPr>
          <w:rFonts w:ascii="Times New Roman" w:hAnsi="Times New Roman" w:eastAsia="Times New Roman" w:cs="Times New Roman"/>
          <w:color w:val="000000" w:themeColor="text1"/>
          <w:sz w:val="20"/>
          <w:szCs w:val="20"/>
          <w:lang w:eastAsia="ru-RU"/>
          <w14:textFill>
            <w14:solidFill>
              <w14:schemeClr w14:val="tx1"/>
            </w14:solidFill>
          </w14:textFill>
        </w:rPr>
      </w:pPr>
      <w:r>
        <w:rPr>
          <w:rFonts w:ascii="Times New Roman" w:hAnsi="Times New Roman" w:eastAsia="Times New Roman" w:cs="Times New Roman"/>
          <w:color w:val="000000" w:themeColor="text1"/>
          <w:sz w:val="20"/>
          <w:szCs w:val="20"/>
          <w:lang w:eastAsia="ru-RU"/>
          <w14:textFill>
            <w14:solidFill>
              <w14:schemeClr w14:val="tx1"/>
            </w14:solidFill>
          </w14:textFill>
        </w:rPr>
        <w:t>постановлением территориальной</w:t>
      </w:r>
    </w:p>
    <w:p w14:paraId="79DCF7E5">
      <w:pPr>
        <w:spacing w:after="0" w:line="240" w:lineRule="auto"/>
        <w:ind w:left="5103" w:firstLine="567"/>
        <w:jc w:val="center"/>
        <w:rPr>
          <w:rFonts w:ascii="Times New Roman" w:hAnsi="Times New Roman" w:eastAsia="Times New Roman" w:cs="Times New Roman"/>
          <w:color w:val="000000" w:themeColor="text1"/>
          <w:sz w:val="20"/>
          <w:szCs w:val="20"/>
          <w:lang w:eastAsia="ru-RU"/>
          <w14:textFill>
            <w14:solidFill>
              <w14:schemeClr w14:val="tx1"/>
            </w14:solidFill>
          </w14:textFill>
        </w:rPr>
      </w:pPr>
      <w:r>
        <w:rPr>
          <w:rFonts w:ascii="Times New Roman" w:hAnsi="Times New Roman" w:eastAsia="Times New Roman" w:cs="Times New Roman"/>
          <w:color w:val="000000" w:themeColor="text1"/>
          <w:sz w:val="20"/>
          <w:szCs w:val="20"/>
          <w:lang w:eastAsia="ru-RU"/>
          <w14:textFill>
            <w14:solidFill>
              <w14:schemeClr w14:val="tx1"/>
            </w14:solidFill>
          </w14:textFill>
        </w:rPr>
        <w:t xml:space="preserve">избирательной комиссии № </w:t>
      </w:r>
      <w:r>
        <w:rPr>
          <w:rFonts w:hint="default" w:ascii="Times New Roman" w:hAnsi="Times New Roman" w:eastAsia="Times New Roman" w:cs="Times New Roman"/>
          <w:color w:val="000000" w:themeColor="text1"/>
          <w:sz w:val="20"/>
          <w:szCs w:val="20"/>
          <w:lang w:val="en-US" w:eastAsia="ru-RU"/>
          <w14:textFill>
            <w14:solidFill>
              <w14:schemeClr w14:val="tx1"/>
            </w14:solidFill>
          </w14:textFill>
        </w:rPr>
        <w:t>1</w:t>
      </w:r>
      <w:r>
        <w:rPr>
          <w:rFonts w:ascii="Times New Roman" w:hAnsi="Times New Roman" w:eastAsia="Times New Roman" w:cs="Times New Roman"/>
          <w:color w:val="000000" w:themeColor="text1"/>
          <w:sz w:val="20"/>
          <w:szCs w:val="20"/>
          <w:lang w:eastAsia="ru-RU"/>
          <w14:textFill>
            <w14:solidFill>
              <w14:schemeClr w14:val="tx1"/>
            </w14:solidFill>
          </w14:textFill>
        </w:rPr>
        <w:t xml:space="preserve"> </w:t>
      </w:r>
    </w:p>
    <w:p w14:paraId="2D1EF398">
      <w:pPr>
        <w:spacing w:after="0" w:line="240" w:lineRule="auto"/>
        <w:ind w:left="5103" w:firstLine="567"/>
        <w:jc w:val="center"/>
        <w:rPr>
          <w:rFonts w:ascii="Times New Roman" w:hAnsi="Times New Roman" w:eastAsia="Times New Roman" w:cs="Times New Roman"/>
          <w:color w:val="000000" w:themeColor="text1"/>
          <w:sz w:val="20"/>
          <w:szCs w:val="20"/>
          <w:lang w:eastAsia="ru-RU"/>
          <w14:textFill>
            <w14:solidFill>
              <w14:schemeClr w14:val="tx1"/>
            </w14:solidFill>
          </w14:textFill>
        </w:rPr>
      </w:pPr>
      <w:r>
        <w:rPr>
          <w:rFonts w:ascii="Times New Roman" w:hAnsi="Times New Roman" w:eastAsia="Times New Roman" w:cs="Times New Roman"/>
          <w:color w:val="000000" w:themeColor="text1"/>
          <w:sz w:val="20"/>
          <w:szCs w:val="20"/>
          <w:lang w:eastAsia="ru-RU"/>
          <w14:textFill>
            <w14:solidFill>
              <w14:schemeClr w14:val="tx1"/>
            </w14:solidFill>
          </w14:textFill>
        </w:rPr>
        <w:t xml:space="preserve">Октябрьского округа города Липецка </w:t>
      </w:r>
    </w:p>
    <w:p w14:paraId="52ABEF5D">
      <w:pPr>
        <w:spacing w:after="0" w:line="240" w:lineRule="auto"/>
        <w:ind w:left="5812"/>
        <w:jc w:val="center"/>
        <w:rPr>
          <w:rFonts w:hint="default" w:ascii="Times New Roman" w:hAnsi="Times New Roman" w:eastAsia="Times New Roman" w:cs="Times New Roman"/>
          <w:color w:val="000000" w:themeColor="text1"/>
          <w:sz w:val="20"/>
          <w:szCs w:val="20"/>
          <w:lang w:val="en-US" w:eastAsia="ru-RU"/>
          <w14:textFill>
            <w14:solidFill>
              <w14:schemeClr w14:val="tx1"/>
            </w14:solidFill>
          </w14:textFill>
        </w:rPr>
      </w:pPr>
      <w:r>
        <w:rPr>
          <w:rFonts w:ascii="Times New Roman" w:hAnsi="Times New Roman" w:eastAsia="Times New Roman" w:cs="Times New Roman"/>
          <w:color w:val="000000" w:themeColor="text1"/>
          <w:sz w:val="20"/>
          <w:szCs w:val="20"/>
          <w:lang w:eastAsia="ru-RU"/>
          <w14:textFill>
            <w14:solidFill>
              <w14:schemeClr w14:val="tx1"/>
            </w14:solidFill>
          </w14:textFill>
        </w:rPr>
        <w:t>от 19 июня 2025 года № 7</w:t>
      </w:r>
      <w:r>
        <w:rPr>
          <w:rFonts w:hint="default" w:ascii="Times New Roman" w:hAnsi="Times New Roman" w:eastAsia="Times New Roman" w:cs="Times New Roman"/>
          <w:color w:val="000000" w:themeColor="text1"/>
          <w:sz w:val="20"/>
          <w:szCs w:val="20"/>
          <w:lang w:val="en-US" w:eastAsia="ru-RU"/>
          <w14:textFill>
            <w14:solidFill>
              <w14:schemeClr w14:val="tx1"/>
            </w14:solidFill>
          </w14:textFill>
        </w:rPr>
        <w:t>7</w:t>
      </w:r>
      <w:r>
        <w:rPr>
          <w:rFonts w:ascii="Times New Roman" w:hAnsi="Times New Roman" w:eastAsia="Times New Roman" w:cs="Times New Roman"/>
          <w:color w:val="000000" w:themeColor="text1"/>
          <w:sz w:val="20"/>
          <w:szCs w:val="20"/>
          <w:lang w:eastAsia="ru-RU"/>
          <w14:textFill>
            <w14:solidFill>
              <w14:schemeClr w14:val="tx1"/>
            </w14:solidFill>
          </w14:textFill>
        </w:rPr>
        <w:t>/</w:t>
      </w:r>
      <w:r>
        <w:rPr>
          <w:rFonts w:hint="default" w:ascii="Times New Roman" w:hAnsi="Times New Roman" w:eastAsia="Times New Roman" w:cs="Times New Roman"/>
          <w:color w:val="000000" w:themeColor="text1"/>
          <w:sz w:val="20"/>
          <w:szCs w:val="20"/>
          <w:lang w:val="en-US" w:eastAsia="ru-RU"/>
          <w14:textFill>
            <w14:solidFill>
              <w14:schemeClr w14:val="tx1"/>
            </w14:solidFill>
          </w14:textFill>
        </w:rPr>
        <w:t>580</w:t>
      </w:r>
    </w:p>
    <w:p w14:paraId="290AAE75">
      <w:pPr>
        <w:spacing w:before="240" w:after="0" w:line="240" w:lineRule="auto"/>
        <w:ind w:firstLine="567"/>
        <w:jc w:val="center"/>
        <w:rPr>
          <w:rFonts w:ascii="Times New Roman" w:hAnsi="Times New Roman" w:eastAsia="Times New Roman" w:cs="Times New Roman"/>
          <w:b/>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ПОЛОЖЕНИЕ</w:t>
      </w:r>
    </w:p>
    <w:p w14:paraId="65A2187A">
      <w:pPr>
        <w:spacing w:after="0" w:line="240" w:lineRule="auto"/>
        <w:ind w:firstLine="567"/>
        <w:jc w:val="center"/>
        <w:rPr>
          <w:rFonts w:ascii="Times New Roman" w:hAnsi="Times New Roman" w:eastAsia="Times New Roman" w:cs="Times New Roman"/>
          <w:b/>
          <w:bCs/>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 xml:space="preserve">о Рабочей группе по приему и проверке документов, представляемых в территориальную избирательную комиссию № </w:t>
      </w:r>
      <w:r>
        <w:rPr>
          <w:rFonts w:hint="default" w:ascii="Times New Roman" w:hAnsi="Times New Roman" w:eastAsia="Times New Roman" w:cs="Times New Roman"/>
          <w:b/>
          <w:bCs/>
          <w:color w:val="000000" w:themeColor="text1"/>
          <w:sz w:val="28"/>
          <w:szCs w:val="28"/>
          <w:lang w:val="en-US" w:eastAsia="ru-RU"/>
          <w14:textFill>
            <w14:solidFill>
              <w14:schemeClr w14:val="tx1"/>
            </w14:solidFill>
          </w14:textFill>
        </w:rPr>
        <w:t>1</w:t>
      </w:r>
      <w:r>
        <w:rPr>
          <w:rFonts w:ascii="Times New Roman" w:hAnsi="Times New Roman" w:eastAsia="Times New Roman" w:cs="Times New Roman"/>
          <w:b/>
          <w:bCs/>
          <w:color w:val="000000" w:themeColor="text1"/>
          <w:sz w:val="28"/>
          <w:szCs w:val="28"/>
          <w:lang w:eastAsia="ru-RU"/>
          <w14:textFill>
            <w14:solidFill>
              <w14:schemeClr w14:val="tx1"/>
            </w14:solidFill>
          </w14:textFill>
        </w:rPr>
        <w:t xml:space="preserve"> Октябрьского округа города Липецка</w:t>
      </w:r>
      <w:r>
        <w:rPr>
          <w:b/>
          <w:bCs/>
          <w:color w:val="000000" w:themeColor="text1"/>
          <w:szCs w:val="28"/>
          <w14:textFill>
            <w14:solidFill>
              <w14:schemeClr w14:val="tx1"/>
            </w14:solidFill>
          </w14:textFill>
        </w:rPr>
        <w:t xml:space="preserve"> </w:t>
      </w:r>
      <w:r>
        <w:rPr>
          <w:rFonts w:ascii="Times New Roman" w:hAnsi="Times New Roman" w:eastAsia="Times New Roman" w:cs="Times New Roman"/>
          <w:b/>
          <w:bCs/>
          <w:color w:val="000000" w:themeColor="text1"/>
          <w:sz w:val="28"/>
          <w:szCs w:val="28"/>
          <w:lang w:eastAsia="ru-RU"/>
          <w14:textFill>
            <w14:solidFill>
              <w14:schemeClr w14:val="tx1"/>
            </w14:solidFill>
          </w14:textFill>
        </w:rPr>
        <w:t>кандидатами при проведении выборов депутатов Липецкого городского Совета депутатов седьмого созыва</w:t>
      </w:r>
      <w:r>
        <w:rPr>
          <w:rFonts w:hint="default" w:ascii="Times New Roman" w:hAnsi="Times New Roman" w:eastAsia="Times New Roman" w:cs="Times New Roman"/>
          <w:b/>
          <w:bCs/>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b/>
          <w:bCs/>
          <w:color w:val="000000" w:themeColor="text1"/>
          <w:sz w:val="28"/>
          <w:szCs w:val="28"/>
          <w:lang w:eastAsia="ru-RU"/>
          <w14:textFill>
            <w14:solidFill>
              <w14:schemeClr w14:val="tx1"/>
            </w14:solidFill>
          </w14:textFill>
        </w:rPr>
        <w:t>14 сентября 2025 года</w:t>
      </w:r>
    </w:p>
    <w:p w14:paraId="1691DAFD">
      <w:pPr>
        <w:spacing w:after="0" w:line="276"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p w14:paraId="748AC724">
      <w:pPr>
        <w:pStyle w:val="13"/>
        <w:numPr>
          <w:ilvl w:val="0"/>
          <w:numId w:val="1"/>
        </w:numPr>
        <w:spacing w:after="0" w:line="240" w:lineRule="auto"/>
        <w:jc w:val="center"/>
        <w:rPr>
          <w:rFonts w:ascii="Times New Roman" w:hAnsi="Times New Roman" w:eastAsia="Times New Roman" w:cs="Times New Roman"/>
          <w:b/>
          <w:color w:val="000000" w:themeColor="text1"/>
          <w:sz w:val="28"/>
          <w:szCs w:val="28"/>
          <w:lang w:eastAsia="ru-RU"/>
          <w14:textFill>
            <w14:solidFill>
              <w14:schemeClr w14:val="tx1"/>
            </w14:solidFill>
          </w14:textFill>
        </w:rPr>
      </w:pPr>
      <w:r>
        <w:rPr>
          <w:rFonts w:ascii="Times New Roman" w:hAnsi="Times New Roman" w:eastAsia="Times New Roman" w:cs="Times New Roman"/>
          <w:b/>
          <w:color w:val="000000" w:themeColor="text1"/>
          <w:sz w:val="28"/>
          <w:szCs w:val="28"/>
          <w:lang w:eastAsia="ru-RU"/>
          <w14:textFill>
            <w14:solidFill>
              <w14:schemeClr w14:val="tx1"/>
            </w14:solidFill>
          </w14:textFill>
        </w:rPr>
        <w:t>Общие положения</w:t>
      </w:r>
    </w:p>
    <w:p w14:paraId="0B06A8DE">
      <w:pPr>
        <w:spacing w:after="0" w:line="240" w:lineRule="auto"/>
        <w:ind w:left="567"/>
        <w:jc w:val="center"/>
        <w:rPr>
          <w:rFonts w:ascii="Times New Roman" w:hAnsi="Times New Roman" w:eastAsia="Times New Roman" w:cs="Times New Roman"/>
          <w:b/>
          <w:color w:val="000000" w:themeColor="text1"/>
          <w:sz w:val="28"/>
          <w:szCs w:val="28"/>
          <w:lang w:eastAsia="ru-RU"/>
          <w14:textFill>
            <w14:solidFill>
              <w14:schemeClr w14:val="tx1"/>
            </w14:solidFill>
          </w14:textFill>
        </w:rPr>
      </w:pPr>
    </w:p>
    <w:p w14:paraId="1988F8A2">
      <w:pPr>
        <w:spacing w:after="0" w:line="360" w:lineRule="auto"/>
        <w:ind w:firstLine="567"/>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1.1. Настоящее положение о Рабочей группе по приему и проверке документов, представляемых в территориальную избирательную комиссию № </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1</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 Октябрьского округа города Липецка кандидатами </w:t>
      </w:r>
      <w:bookmarkStart w:id="2" w:name="_Hlk102739141"/>
      <w:r>
        <w:rPr>
          <w:rFonts w:ascii="Times New Roman" w:hAnsi="Times New Roman" w:eastAsia="Times New Roman" w:cs="Times New Roman"/>
          <w:color w:val="000000" w:themeColor="text1"/>
          <w:sz w:val="28"/>
          <w:szCs w:val="28"/>
          <w:lang w:eastAsia="ru-RU"/>
          <w14:textFill>
            <w14:solidFill>
              <w14:schemeClr w14:val="tx1"/>
            </w14:solidFill>
          </w14:textFill>
        </w:rPr>
        <w:t>при проведении выборов депутатов Липецкого городского Совета депутатов седьмого созыва 14 сентября 2025 года (далее – Положение)</w:t>
      </w:r>
      <w:bookmarkEnd w:id="2"/>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 определяет порядок работы Рабочей группы по приему и проверке документов, представляемых в территориальную избирательную комиссию № </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1</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 Октябрьского округа города Липецка кандидатами при проведении выборов депутатов Липецкого городского Совета депутатов седьмого созыва 14 сентября 2025 года (далее – Рабочая группа) с избирательными документами, представляемыми в территориальную избирательную комиссию № </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1</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 Октябрьского округа города Липецка (далее – Комиссия) кандидатами при проведении </w:t>
      </w:r>
      <w:bookmarkStart w:id="3" w:name="_Hlk102741565"/>
      <w:r>
        <w:rPr>
          <w:rFonts w:ascii="Times New Roman" w:hAnsi="Times New Roman" w:eastAsia="Times New Roman" w:cs="Times New Roman"/>
          <w:color w:val="000000" w:themeColor="text1"/>
          <w:sz w:val="28"/>
          <w:szCs w:val="28"/>
          <w:lang w:eastAsia="ru-RU"/>
          <w14:textFill>
            <w14:solidFill>
              <w14:schemeClr w14:val="tx1"/>
            </w14:solidFill>
          </w14:textFill>
        </w:rPr>
        <w:t>выборов депутатов Липецкого</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 городского</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 Совета</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 депутатов </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седьмого</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 созыва 14 сентября 2025 года (далее – выборы) в соответствии </w:t>
      </w:r>
      <w:bookmarkEnd w:id="3"/>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со статьями 31-37, 41, 42 </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Закона </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Липецкой </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области </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от </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6 </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июня 2007 года № 60-ОЗ «О выборах депутатов представительных органов муниципальных </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образований в Липецкой области»</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 (далее – Областной Закон № 60-ОЗ). </w:t>
      </w:r>
    </w:p>
    <w:p w14:paraId="36B72A3B">
      <w:pPr>
        <w:pStyle w:val="9"/>
        <w:spacing w:line="360" w:lineRule="auto"/>
        <w:ind w:firstLine="709"/>
        <w:rPr>
          <w:bCs/>
        </w:rPr>
      </w:pPr>
      <w:r>
        <w:rPr>
          <w:bCs/>
        </w:rPr>
        <w:t>1.2. Рабочая группа в своей деятельности руководствуется Федеральными законами от 12 июня 2006 года № 67-ФЗ «Об основных гарантиях избирательных прав и права на участие в референдуме граждан Российской Федерации», от 27 июля 2007 года № 152-ФЗ «О персональных данных», от 10 января 2003 года № 20-ФЗ «О Государственной автоматизированной системе Российской Федерации «Выборы», иными федеральными законами, Положением об обеспечении безопасности информации в Государственной автоматизированной системе Российской Федерации «Выборы», утвержденным постановлением Центральной избирательной комиссии Российской Федерации от 23 июля 2003 года</w:t>
      </w:r>
      <w:r>
        <w:rPr>
          <w:bCs/>
        </w:rPr>
        <w:br w:type="textWrapping"/>
      </w:r>
      <w:r>
        <w:rPr>
          <w:bCs/>
        </w:rPr>
        <w:t xml:space="preserve"> № 19/137-4, иными нормативными актами Центральной избирательной комиссии Российской Федерации, Областным Законом № 60-ОЗ, настоящим Положением, постановлениями избирательной комиссии Липецкой области и территориальной избирательной комиссии № </w:t>
      </w:r>
      <w:r>
        <w:rPr>
          <w:rFonts w:hint="default"/>
          <w:bCs/>
          <w:lang w:val="ru-RU"/>
        </w:rPr>
        <w:t>1</w:t>
      </w:r>
      <w:r>
        <w:rPr>
          <w:bCs/>
        </w:rPr>
        <w:t xml:space="preserve"> Октябрьского округа города Липецка. </w:t>
      </w:r>
    </w:p>
    <w:p w14:paraId="2BDBE8EF">
      <w:pPr>
        <w:tabs>
          <w:tab w:val="left" w:pos="426"/>
        </w:tabs>
        <w:spacing w:after="0" w:line="360" w:lineRule="auto"/>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ab/>
      </w:r>
      <w:r>
        <w:rPr>
          <w:rFonts w:ascii="Times New Roman" w:hAnsi="Times New Roman" w:eastAsia="Times New Roman" w:cs="Times New Roman"/>
          <w:color w:val="000000" w:themeColor="text1"/>
          <w:sz w:val="28"/>
          <w:szCs w:val="28"/>
          <w:lang w:eastAsia="ru-RU"/>
          <w14:textFill>
            <w14:solidFill>
              <w14:schemeClr w14:val="tx1"/>
            </w14:solidFill>
          </w14:textFill>
        </w:rPr>
        <w:t>1.3.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14:paraId="2E83E7F3">
      <w:pPr>
        <w:spacing w:after="0" w:line="360" w:lineRule="auto"/>
        <w:ind w:firstLine="708"/>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1.4.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автоматизированной системе Российской Федерации «Выборы», 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14:paraId="156627ED">
      <w:pPr>
        <w:spacing w:after="0" w:line="360" w:lineRule="auto"/>
        <w:ind w:firstLine="708"/>
        <w:jc w:val="both"/>
        <w:rPr>
          <w:rFonts w:ascii="Times New Roman" w:hAnsi="Times New Roman" w:eastAsia="Times New Roman" w:cs="Times New Roman"/>
          <w:color w:val="000000" w:themeColor="text1"/>
          <w:sz w:val="20"/>
          <w:szCs w:val="20"/>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1.5. Рабочая группа организует работу по приему и проверке избирательных документов (далее – документы), представляемых кандидатами в Комиссию, по проверке соблюдения порядка выдвижения кандидатов, при проведении выборов</w:t>
      </w:r>
      <w:bookmarkStart w:id="4" w:name="_Hlk102741683"/>
      <w:r>
        <w:rPr>
          <w:rFonts w:ascii="Times New Roman" w:hAnsi="Times New Roman" w:eastAsia="Times New Roman" w:cs="Times New Roman"/>
          <w:color w:val="000000" w:themeColor="text1"/>
          <w:sz w:val="28"/>
          <w:szCs w:val="28"/>
          <w:lang w:eastAsia="ru-RU"/>
          <w14:textFill>
            <w14:solidFill>
              <w14:schemeClr w14:val="tx1"/>
            </w14:solidFill>
          </w14:textFill>
        </w:rPr>
        <w:t>.</w:t>
      </w:r>
    </w:p>
    <w:bookmarkEnd w:id="4"/>
    <w:p w14:paraId="0B166FFD">
      <w:pPr>
        <w:spacing w:after="0" w:line="360" w:lineRule="auto"/>
        <w:ind w:firstLine="708"/>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1.6. По результатам своей работы Рабочая группа готовит и вносит на рассмотрение Комиссии проекты постановлений о регистрации кандидата либо об отказе в регистрации кандидату, об отмене регистрации кандидатов, аннулировании регистрации кандидатов, об утрате статуса кандидата, о регистрации доверенных лиц кандидатов, уполномоченных представителей по финансовым вопросам кандидатов при проведении выборов и другим вопросам, предусмотренным Областным Законом № 60-ОЗ.</w:t>
      </w:r>
    </w:p>
    <w:p w14:paraId="76D2FBEC">
      <w:pPr>
        <w:spacing w:after="0" w:line="360" w:lineRule="auto"/>
        <w:ind w:firstLine="708"/>
        <w:jc w:val="both"/>
        <w:rPr>
          <w:rFonts w:ascii="Times New Roman" w:hAnsi="Times New Roman" w:eastAsia="Times New Roman" w:cs="Times New Roman"/>
          <w:color w:val="000000" w:themeColor="text1"/>
          <w:sz w:val="28"/>
          <w:szCs w:val="28"/>
          <w:lang w:eastAsia="ru-RU"/>
          <w14:textFill>
            <w14:solidFill>
              <w14:schemeClr w14:val="tx1"/>
            </w14:solidFill>
          </w14:textFill>
        </w:rPr>
      </w:pPr>
    </w:p>
    <w:p w14:paraId="171783B9">
      <w:pPr>
        <w:pStyle w:val="13"/>
        <w:numPr>
          <w:ilvl w:val="0"/>
          <w:numId w:val="1"/>
        </w:numPr>
        <w:spacing w:after="0" w:line="360" w:lineRule="auto"/>
        <w:ind w:left="0" w:firstLine="851"/>
        <w:jc w:val="center"/>
        <w:rPr>
          <w:rFonts w:ascii="Times New Roman" w:hAnsi="Times New Roman" w:eastAsia="Times New Roman" w:cs="Times New Roman"/>
          <w:b/>
          <w:bCs/>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 xml:space="preserve">Задачи и полномочия Рабочей группы </w:t>
      </w:r>
    </w:p>
    <w:p w14:paraId="7C2514C3">
      <w:pPr>
        <w:widowControl w:val="0"/>
        <w:autoSpaceDE w:val="0"/>
        <w:autoSpaceDN w:val="0"/>
        <w:adjustRightInd w:val="0"/>
        <w:spacing w:after="0" w:line="360" w:lineRule="auto"/>
        <w:ind w:firstLine="708"/>
        <w:jc w:val="both"/>
        <w:rPr>
          <w:rFonts w:ascii="Times New Roman" w:hAnsi="Times New Roman" w:eastAsia="Times New Roman" w:cs="Calibri"/>
          <w:sz w:val="28"/>
          <w:szCs w:val="28"/>
          <w:lang w:eastAsia="ru-RU"/>
        </w:rPr>
      </w:pPr>
      <w:r>
        <w:rPr>
          <w:rFonts w:ascii="Times New Roman" w:hAnsi="Times New Roman" w:eastAsia="Times New Roman" w:cs="Times New Roman"/>
          <w:bCs/>
          <w:color w:val="000000" w:themeColor="text1"/>
          <w:sz w:val="28"/>
          <w:szCs w:val="28"/>
          <w:lang w:eastAsia="ru-RU"/>
          <w14:textFill>
            <w14:solidFill>
              <w14:schemeClr w14:val="tx1"/>
            </w14:solidFill>
          </w14:textFill>
        </w:rPr>
        <w:t xml:space="preserve">2.1. Задачами Рабочей группы являются: </w:t>
      </w:r>
      <w:r>
        <w:rPr>
          <w:rFonts w:ascii="Times New Roman" w:hAnsi="Times New Roman" w:eastAsia="Times New Roman" w:cs="Calibri"/>
          <w:sz w:val="28"/>
          <w:szCs w:val="28"/>
          <w:lang w:eastAsia="ru-RU"/>
        </w:rPr>
        <w:t>прием документов, представляемых кандидатами на бумажном и машиночитаемом носителе, проверка их соответствия требованиям Областного закона № 60-ОЗ, проверка соблюдения порядка выдвижения кандидатов, подготовка соответствующих проектов постановлений Комиссии.</w:t>
      </w:r>
    </w:p>
    <w:p w14:paraId="359A84C3">
      <w:pPr>
        <w:spacing w:after="0" w:line="360" w:lineRule="auto"/>
        <w:ind w:firstLine="708"/>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2.2. Для реализации этих задач Рабочая группа:</w:t>
      </w:r>
    </w:p>
    <w:p w14:paraId="03E3F380">
      <w:pPr>
        <w:tabs>
          <w:tab w:val="left" w:pos="851"/>
          <w:tab w:val="left" w:pos="993"/>
        </w:tabs>
        <w:spacing w:after="0" w:line="360" w:lineRule="auto"/>
        <w:jc w:val="both"/>
        <w:rPr>
          <w:rFonts w:ascii="Times New Roman" w:hAnsi="Times New Roman" w:eastAsia="Times New Roman" w:cs="Calibri"/>
          <w:sz w:val="28"/>
          <w:szCs w:val="28"/>
          <w:lang w:eastAsia="ru-RU"/>
        </w:rPr>
      </w:pPr>
      <w:r>
        <w:rPr>
          <w:rFonts w:ascii="Times New Roman" w:hAnsi="Times New Roman" w:eastAsia="Times New Roman" w:cs="Times New Roman"/>
          <w:color w:val="000000" w:themeColor="text1"/>
          <w:sz w:val="28"/>
          <w:szCs w:val="28"/>
          <w:lang w:eastAsia="ru-RU"/>
          <w14:textFill>
            <w14:solidFill>
              <w14:schemeClr w14:val="tx1"/>
            </w14:solidFill>
          </w14:textFill>
        </w:rPr>
        <w:tab/>
      </w:r>
      <w:r>
        <w:rPr>
          <w:rFonts w:ascii="Times New Roman" w:hAnsi="Times New Roman" w:eastAsia="Times New Roman" w:cs="Times New Roman"/>
          <w:color w:val="000000" w:themeColor="text1"/>
          <w:sz w:val="28"/>
          <w:szCs w:val="28"/>
          <w:lang w:eastAsia="ru-RU"/>
          <w14:textFill>
            <w14:solidFill>
              <w14:schemeClr w14:val="tx1"/>
            </w14:solidFill>
          </w14:textFill>
        </w:rPr>
        <w:t>2.2.1. П</w:t>
      </w:r>
      <w:r>
        <w:rPr>
          <w:rFonts w:ascii="Times New Roman" w:hAnsi="Times New Roman" w:eastAsia="Times New Roman" w:cs="Calibri"/>
          <w:sz w:val="28"/>
          <w:szCs w:val="28"/>
          <w:lang w:eastAsia="ru-RU"/>
        </w:rPr>
        <w:t xml:space="preserve">ринимает документы, представляемые в Комиссию кандидатами </w:t>
      </w:r>
      <w:r>
        <w:rPr>
          <w:rFonts w:ascii="Times New Roman" w:hAnsi="Times New Roman" w:eastAsia="Times New Roman" w:cs="Times New Roman"/>
          <w:sz w:val="28"/>
          <w:szCs w:val="28"/>
          <w:lang w:eastAsia="ru-RU"/>
        </w:rPr>
        <w:t>для уведомления о выдвижении (самовыдвижении)</w:t>
      </w:r>
      <w:r>
        <w:rPr>
          <w:rFonts w:ascii="Times New Roman" w:hAnsi="Times New Roman" w:eastAsia="Times New Roman" w:cs="Calibri"/>
          <w:sz w:val="28"/>
          <w:szCs w:val="28"/>
          <w:lang w:eastAsia="ru-RU"/>
        </w:rPr>
        <w:t xml:space="preserve">. </w:t>
      </w:r>
    </w:p>
    <w:p w14:paraId="5B0133FD">
      <w:pPr>
        <w:widowControl w:val="0"/>
        <w:autoSpaceDE w:val="0"/>
        <w:autoSpaceDN w:val="0"/>
        <w:adjustRightInd w:val="0"/>
        <w:spacing w:after="0" w:line="360" w:lineRule="auto"/>
        <w:ind w:firstLine="851"/>
        <w:jc w:val="both"/>
        <w:rPr>
          <w:rFonts w:ascii="Times New Roman" w:hAnsi="Times New Roman" w:eastAsia="Times New Roman" w:cs="Calibri"/>
          <w:sz w:val="28"/>
          <w:szCs w:val="28"/>
          <w:lang w:eastAsia="ru-RU"/>
        </w:rPr>
      </w:pP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2.2.2. </w:t>
      </w:r>
      <w:r>
        <w:rPr>
          <w:rFonts w:ascii="Times New Roman" w:hAnsi="Times New Roman" w:eastAsia="Times New Roman" w:cs="Calibri"/>
          <w:sz w:val="28"/>
          <w:szCs w:val="28"/>
          <w:lang w:eastAsia="ru-RU"/>
        </w:rPr>
        <w:t xml:space="preserve">Проверяет наличие документов, представленных на бумажном носителе и в машиночитаемом виде в соответствии с требованиями </w:t>
      </w:r>
      <w:r>
        <w:rPr>
          <w:rFonts w:ascii="Times New Roman" w:hAnsi="Times New Roman" w:eastAsia="Times New Roman" w:cs="Calibri"/>
          <w:sz w:val="28"/>
          <w:szCs w:val="28"/>
          <w:lang w:eastAsia="ru-RU"/>
        </w:rPr>
        <w:br w:type="textWrapping"/>
      </w:r>
      <w:r>
        <w:rPr>
          <w:rFonts w:ascii="Times New Roman" w:hAnsi="Times New Roman" w:eastAsia="Times New Roman" w:cs="Calibri"/>
          <w:sz w:val="28"/>
          <w:szCs w:val="28"/>
          <w:lang w:eastAsia="ru-RU"/>
        </w:rPr>
        <w:t>статьи 34 Областного закона № 60-ОЗ.</w:t>
      </w:r>
    </w:p>
    <w:p w14:paraId="58345D7B">
      <w:pPr>
        <w:widowControl w:val="0"/>
        <w:autoSpaceDE w:val="0"/>
        <w:autoSpaceDN w:val="0"/>
        <w:adjustRightInd w:val="0"/>
        <w:spacing w:after="0" w:line="360" w:lineRule="auto"/>
        <w:ind w:firstLine="851"/>
        <w:jc w:val="both"/>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t>2.2.3. Проверяет соблюдение требований Областного закона № 60-ОЗ при выдвижении кандидатов, а также достоверность сведений о кандидатах.</w:t>
      </w:r>
    </w:p>
    <w:p w14:paraId="6BF31917">
      <w:pPr>
        <w:widowControl w:val="0"/>
        <w:autoSpaceDE w:val="0"/>
        <w:autoSpaceDN w:val="0"/>
        <w:adjustRightInd w:val="0"/>
        <w:spacing w:after="0" w:line="360" w:lineRule="auto"/>
        <w:ind w:firstLine="851"/>
        <w:jc w:val="both"/>
        <w:rPr>
          <w:rFonts w:ascii="Times New Roman" w:hAnsi="Times New Roman" w:eastAsia="Times New Roman" w:cs="Times New Roman"/>
          <w:sz w:val="28"/>
          <w:szCs w:val="28"/>
          <w:lang w:eastAsia="ru-RU"/>
        </w:rPr>
      </w:pPr>
      <w:r>
        <w:rPr>
          <w:rFonts w:ascii="Times New Roman" w:hAnsi="Times New Roman" w:eastAsia="Times New Roman" w:cs="Calibri"/>
          <w:sz w:val="28"/>
          <w:szCs w:val="28"/>
          <w:lang w:eastAsia="ru-RU"/>
        </w:rPr>
        <w:t xml:space="preserve">2.2.4. Принимает от кандидатов подписные листы с подписями избирателей, собранными в поддержку </w:t>
      </w:r>
      <w:r>
        <w:rPr>
          <w:rFonts w:ascii="Times New Roman" w:hAnsi="Times New Roman" w:eastAsia="Times New Roman" w:cs="Times New Roman"/>
          <w:sz w:val="28"/>
          <w:szCs w:val="28"/>
          <w:lang w:eastAsia="ru-RU"/>
        </w:rPr>
        <w:t>выдвижения (самовыдвижения) кандидатов и иные, необходимые для регистрации документы. Извещает кандидатов, представивших необходимое количество подписей избирателей, о проведении проверки подписей.</w:t>
      </w:r>
    </w:p>
    <w:p w14:paraId="6816664A">
      <w:pPr>
        <w:widowControl w:val="0"/>
        <w:autoSpaceDE w:val="0"/>
        <w:autoSpaceDN w:val="0"/>
        <w:adjustRightInd w:val="0"/>
        <w:spacing w:after="0" w:line="360" w:lineRule="auto"/>
        <w:ind w:firstLine="851"/>
        <w:jc w:val="both"/>
        <w:rPr>
          <w:rFonts w:ascii="Times New Roman" w:hAnsi="Times New Roman" w:eastAsia="Times New Roman" w:cs="Calibri"/>
          <w:sz w:val="28"/>
          <w:szCs w:val="28"/>
          <w:lang w:eastAsia="ru-RU"/>
        </w:rPr>
      </w:pPr>
      <w:r>
        <w:rPr>
          <w:rFonts w:ascii="Times New Roman" w:hAnsi="Times New Roman" w:eastAsia="Times New Roman" w:cs="Times New Roman"/>
          <w:sz w:val="28"/>
          <w:szCs w:val="28"/>
          <w:lang w:eastAsia="ru-RU"/>
        </w:rPr>
        <w:t xml:space="preserve">2.2.5. </w:t>
      </w:r>
      <w:r>
        <w:rPr>
          <w:rFonts w:ascii="Times New Roman" w:hAnsi="Times New Roman" w:eastAsia="Times New Roman" w:cs="Calibri"/>
          <w:sz w:val="28"/>
          <w:szCs w:val="28"/>
          <w:lang w:eastAsia="ru-RU"/>
        </w:rPr>
        <w:t>Проверяет соблюдение требований Областного закона № 60-ОЗ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p>
    <w:p w14:paraId="3E5F041E">
      <w:pPr>
        <w:widowControl w:val="0"/>
        <w:autoSpaceDE w:val="0"/>
        <w:autoSpaceDN w:val="0"/>
        <w:adjustRightInd w:val="0"/>
        <w:spacing w:after="0" w:line="360" w:lineRule="auto"/>
        <w:ind w:firstLine="851"/>
        <w:jc w:val="both"/>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t>2.2.6. Передает кандидату не позднее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p>
    <w:p w14:paraId="5E2DC791">
      <w:pPr>
        <w:widowControl w:val="0"/>
        <w:autoSpaceDE w:val="0"/>
        <w:autoSpaceDN w:val="0"/>
        <w:adjustRightInd w:val="0"/>
        <w:spacing w:after="0" w:line="360" w:lineRule="auto"/>
        <w:ind w:firstLine="851"/>
        <w:jc w:val="both"/>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t>2.2.7. Готовит на заседание Комиссии документы для извещения кандидата, Комиссией о выявлении неполноты сведений о кандидате, отсутствия каких-либо документов, предусмотренных Областным законом №60-ОЗ, или несоблюдения требований Областного закона № 60-ОЗ к оформлению документов, представленных в Комиссию.</w:t>
      </w:r>
    </w:p>
    <w:p w14:paraId="1D4DE942">
      <w:pPr>
        <w:widowControl w:val="0"/>
        <w:autoSpaceDE w:val="0"/>
        <w:autoSpaceDN w:val="0"/>
        <w:adjustRightInd w:val="0"/>
        <w:spacing w:after="0" w:line="360" w:lineRule="auto"/>
        <w:ind w:firstLine="851"/>
        <w:jc w:val="both"/>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t xml:space="preserve">2.2.8. Передает кандидату в случае наступления оснований, предусмотренных частью 16 статьи 36 Областного закона № 60-ОЗ, не позднее, чем за двое суток до заседания </w:t>
      </w:r>
      <w:r>
        <w:rPr>
          <w:rFonts w:ascii="Times New Roman" w:hAnsi="Times New Roman" w:eastAsia="Times New Roman" w:cs="Times New Roman"/>
          <w:sz w:val="28"/>
          <w:szCs w:val="28"/>
          <w:lang w:eastAsia="ru-RU"/>
        </w:rPr>
        <w:t xml:space="preserve">Комиссии, </w:t>
      </w:r>
      <w:r>
        <w:rPr>
          <w:rFonts w:ascii="Times New Roman" w:hAnsi="Times New Roman" w:eastAsia="Calibri" w:cs="Times New Roman"/>
          <w:sz w:val="28"/>
          <w:szCs w:val="28"/>
        </w:rPr>
        <w:t>на котором должен 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недостоверными и (или) недействительными.</w:t>
      </w:r>
    </w:p>
    <w:p w14:paraId="50FA4BD0">
      <w:pPr>
        <w:widowControl w:val="0"/>
        <w:autoSpaceDE w:val="0"/>
        <w:autoSpaceDN w:val="0"/>
        <w:adjustRightInd w:val="0"/>
        <w:spacing w:after="0" w:line="360" w:lineRule="auto"/>
        <w:ind w:firstLine="851"/>
        <w:jc w:val="both"/>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t>2.2.9. Готовит проекты обращений в соответствующие органы с представлениями о проведении проверки достоверности сведений, представленных кандидатами.</w:t>
      </w:r>
    </w:p>
    <w:p w14:paraId="2D3B454D">
      <w:pPr>
        <w:widowControl w:val="0"/>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eastAsia="Times New Roman" w:cs="Calibri"/>
          <w:sz w:val="28"/>
          <w:szCs w:val="28"/>
          <w:lang w:eastAsia="ru-RU"/>
        </w:rPr>
        <w:t xml:space="preserve">2.2.10. Принимает документы, необходимые для регистрации доверенных лиц кандидатов, </w:t>
      </w:r>
      <w:r>
        <w:rPr>
          <w:rFonts w:ascii="Times New Roman" w:hAnsi="Times New Roman" w:cs="Times New Roman"/>
          <w:sz w:val="28"/>
          <w:szCs w:val="28"/>
          <w:lang w:eastAsia="ru-RU"/>
        </w:rPr>
        <w:t>уполномоченных представителей кандидатов по финансовым вопросам</w:t>
      </w:r>
      <w:r>
        <w:rPr>
          <w:rFonts w:ascii="Times New Roman" w:hAnsi="Times New Roman" w:cs="Times New Roman"/>
          <w:sz w:val="28"/>
          <w:szCs w:val="28"/>
        </w:rPr>
        <w:t>.</w:t>
      </w:r>
    </w:p>
    <w:p w14:paraId="55DE7389">
      <w:pPr>
        <w:widowControl w:val="0"/>
        <w:autoSpaceDE w:val="0"/>
        <w:autoSpaceDN w:val="0"/>
        <w:adjustRightInd w:val="0"/>
        <w:spacing w:after="0" w:line="360" w:lineRule="auto"/>
        <w:ind w:firstLine="851"/>
        <w:jc w:val="both"/>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t>2.2.11. Готовит к опубликованию в периодическом печатном</w:t>
      </w:r>
      <w:r>
        <w:rPr>
          <w:rFonts w:ascii="Times New Roman" w:hAnsi="Times New Roman" w:eastAsia="Times New Roman" w:cs="Calibri"/>
          <w:i/>
          <w:iCs/>
          <w:sz w:val="28"/>
          <w:szCs w:val="28"/>
          <w:lang w:eastAsia="ru-RU"/>
        </w:rPr>
        <w:t xml:space="preserve"> </w:t>
      </w:r>
      <w:r>
        <w:rPr>
          <w:rFonts w:ascii="Times New Roman" w:hAnsi="Times New Roman" w:eastAsia="Times New Roman" w:cs="Calibri"/>
          <w:sz w:val="28"/>
          <w:szCs w:val="28"/>
          <w:lang w:eastAsia="ru-RU"/>
        </w:rPr>
        <w:t>издании «Первый номер официально» и на сайте Комиссии информацию о кандидатах в порядке и объеме, предусмотренном нормативными актами организующей выборы комиссии; к направлению в средства массовой информации сведений – о выявленных фактах недостоверности представленных кандидатами сведений.</w:t>
      </w:r>
    </w:p>
    <w:p w14:paraId="5203436F">
      <w:pPr>
        <w:widowControl w:val="0"/>
        <w:autoSpaceDE w:val="0"/>
        <w:autoSpaceDN w:val="0"/>
        <w:adjustRightInd w:val="0"/>
        <w:spacing w:after="0" w:line="360" w:lineRule="auto"/>
        <w:ind w:firstLine="851"/>
        <w:jc w:val="both"/>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t>2.2.12. Готовит материалы, необходимые в случае обжалования постановлений Комиссии о регистрации либо об отказе в регистрации кандидатов, об утрате статуса кандидата.</w:t>
      </w:r>
    </w:p>
    <w:p w14:paraId="623ECC0B">
      <w:pPr>
        <w:widowControl w:val="0"/>
        <w:autoSpaceDE w:val="0"/>
        <w:autoSpaceDN w:val="0"/>
        <w:adjustRightInd w:val="0"/>
        <w:spacing w:after="0" w:line="360" w:lineRule="auto"/>
        <w:ind w:firstLine="851"/>
        <w:jc w:val="both"/>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t>2.2.13. Готовит документы в связи с отказом кандидата от участия в выборах, в связи с отзывом кандидата избирательным объединением, появления оснований для утраты статуса кандидата.</w:t>
      </w:r>
    </w:p>
    <w:p w14:paraId="4D430F3D">
      <w:pPr>
        <w:widowControl w:val="0"/>
        <w:autoSpaceDE w:val="0"/>
        <w:autoSpaceDN w:val="0"/>
        <w:adjustRightInd w:val="0"/>
        <w:spacing w:after="0" w:line="360" w:lineRule="auto"/>
        <w:ind w:firstLine="851"/>
        <w:jc w:val="both"/>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t>2.2.14. Готовит документы для прекращения полномочий уполномоченного представителя по финансовым вопросам, аннулирования регистрации доверенных лиц кандидата, в случае их отзыва кандидатом или сложения полномочий по собственной инициативе.</w:t>
      </w:r>
    </w:p>
    <w:p w14:paraId="20AC6829">
      <w:pPr>
        <w:widowControl w:val="0"/>
        <w:autoSpaceDE w:val="0"/>
        <w:autoSpaceDN w:val="0"/>
        <w:adjustRightInd w:val="0"/>
        <w:spacing w:after="0" w:line="360" w:lineRule="auto"/>
        <w:ind w:firstLine="851"/>
        <w:jc w:val="both"/>
        <w:rPr>
          <w:rFonts w:ascii="Times New Roman" w:hAnsi="Times New Roman" w:eastAsia="Times New Roman" w:cs="Calibri"/>
          <w:sz w:val="28"/>
          <w:szCs w:val="28"/>
          <w:highlight w:val="red"/>
          <w:lang w:eastAsia="ru-RU"/>
        </w:rPr>
      </w:pPr>
      <w:r>
        <w:rPr>
          <w:rFonts w:ascii="Times New Roman" w:hAnsi="Times New Roman" w:eastAsia="Times New Roman" w:cs="Calibri"/>
          <w:sz w:val="28"/>
          <w:szCs w:val="28"/>
          <w:lang w:eastAsia="ru-RU"/>
        </w:rPr>
        <w:t>2.2.15. Принимает иные документы, представляемые кандидатами.</w:t>
      </w:r>
    </w:p>
    <w:p w14:paraId="1124ADEF">
      <w:pPr>
        <w:widowControl w:val="0"/>
        <w:autoSpaceDE w:val="0"/>
        <w:autoSpaceDN w:val="0"/>
        <w:adjustRightInd w:val="0"/>
        <w:spacing w:after="0" w:line="360" w:lineRule="auto"/>
        <w:ind w:firstLine="851"/>
        <w:jc w:val="both"/>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t>2.2.16. Выдает кандидату документ, подтверждающий прием всех представленных в Комиссию документов, с указанием даты и времени начала и окончания приема.</w:t>
      </w:r>
    </w:p>
    <w:p w14:paraId="4FA678AC">
      <w:pPr>
        <w:widowControl w:val="0"/>
        <w:autoSpaceDE w:val="0"/>
        <w:autoSpaceDN w:val="0"/>
        <w:adjustRightInd w:val="0"/>
        <w:spacing w:after="0" w:line="360" w:lineRule="auto"/>
        <w:ind w:firstLine="851"/>
        <w:jc w:val="both"/>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t>2.2.17. Готовит проекты постановлений Комиссии по направлениям деятельности Рабочей группы.</w:t>
      </w:r>
    </w:p>
    <w:p w14:paraId="40704A28">
      <w:pPr>
        <w:widowControl w:val="0"/>
        <w:autoSpaceDE w:val="0"/>
        <w:autoSpaceDN w:val="0"/>
        <w:adjustRightInd w:val="0"/>
        <w:spacing w:after="0" w:line="360" w:lineRule="auto"/>
        <w:ind w:firstLine="851"/>
        <w:jc w:val="both"/>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t>2.2.18. Осуществляет иные полномочия в целях реализации возложенных на Рабочую группу задач.</w:t>
      </w:r>
    </w:p>
    <w:p w14:paraId="2ED9BB0C">
      <w:pPr>
        <w:widowControl w:val="0"/>
        <w:autoSpaceDE w:val="0"/>
        <w:autoSpaceDN w:val="0"/>
        <w:adjustRightInd w:val="0"/>
        <w:spacing w:after="0" w:line="360" w:lineRule="auto"/>
        <w:ind w:firstLine="851"/>
        <w:jc w:val="both"/>
        <w:rPr>
          <w:rFonts w:ascii="Times New Roman" w:hAnsi="Times New Roman" w:eastAsia="Times New Roman" w:cs="Calibri"/>
          <w:sz w:val="28"/>
          <w:szCs w:val="28"/>
          <w:lang w:eastAsia="ru-RU"/>
        </w:rPr>
      </w:pPr>
    </w:p>
    <w:p w14:paraId="71E97F04">
      <w:pPr>
        <w:pStyle w:val="13"/>
        <w:widowControl w:val="0"/>
        <w:numPr>
          <w:ilvl w:val="0"/>
          <w:numId w:val="2"/>
        </w:numPr>
        <w:autoSpaceDE w:val="0"/>
        <w:autoSpaceDN w:val="0"/>
        <w:adjustRightInd w:val="0"/>
        <w:spacing w:before="120" w:after="120" w:line="360" w:lineRule="auto"/>
        <w:jc w:val="center"/>
        <w:rPr>
          <w:rFonts w:ascii="Times New Roman" w:hAnsi="Times New Roman" w:eastAsia="Times New Roman" w:cs="Calibri"/>
          <w:b/>
          <w:sz w:val="28"/>
          <w:szCs w:val="28"/>
          <w:lang w:eastAsia="ru-RU"/>
        </w:rPr>
      </w:pPr>
      <w:r>
        <w:rPr>
          <w:rFonts w:ascii="Times New Roman" w:hAnsi="Times New Roman" w:eastAsia="Times New Roman" w:cs="Calibri"/>
          <w:b/>
          <w:sz w:val="28"/>
          <w:szCs w:val="28"/>
          <w:lang w:eastAsia="ru-RU"/>
        </w:rPr>
        <w:t>Состав и организация деятельности Рабочей группы</w:t>
      </w:r>
    </w:p>
    <w:p w14:paraId="25BABD7B">
      <w:pPr>
        <w:widowControl w:val="0"/>
        <w:autoSpaceDE w:val="0"/>
        <w:autoSpaceDN w:val="0"/>
        <w:adjustRightInd w:val="0"/>
        <w:spacing w:after="0" w:line="360" w:lineRule="auto"/>
        <w:ind w:firstLine="450"/>
        <w:jc w:val="both"/>
        <w:rPr>
          <w:rFonts w:hint="default" w:ascii="Times New Roman" w:hAnsi="Times New Roman" w:eastAsia="Times New Roman" w:cs="Calibri"/>
          <w:sz w:val="28"/>
          <w:szCs w:val="28"/>
          <w:lang w:val="en-US" w:eastAsia="ru-RU"/>
        </w:rPr>
      </w:pPr>
      <w:r>
        <w:rPr>
          <w:rFonts w:ascii="Times New Roman" w:hAnsi="Times New Roman" w:eastAsia="Times New Roman" w:cs="Calibri"/>
          <w:sz w:val="28"/>
          <w:szCs w:val="28"/>
          <w:lang w:eastAsia="ru-RU"/>
        </w:rPr>
        <w:t>3.1. Состав Рабочей группы утверждается постановлением Комиссии. Из 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w:t>
      </w:r>
      <w:r>
        <w:rPr>
          <w:rFonts w:hint="default" w:ascii="Times New Roman" w:hAnsi="Times New Roman" w:eastAsia="Times New Roman" w:cs="Calibri"/>
          <w:sz w:val="28"/>
          <w:szCs w:val="28"/>
          <w:lang w:val="en-US" w:eastAsia="ru-RU"/>
        </w:rPr>
        <w:t>, работники аппарата избирательной комиссии Липецкой области.</w:t>
      </w:r>
      <w:bookmarkStart w:id="5" w:name="_GoBack"/>
      <w:bookmarkEnd w:id="5"/>
    </w:p>
    <w:p w14:paraId="0803E96F">
      <w:pPr>
        <w:widowControl w:val="0"/>
        <w:autoSpaceDE w:val="0"/>
        <w:autoSpaceDN w:val="0"/>
        <w:adjustRightInd w:val="0"/>
        <w:spacing w:after="0" w:line="360" w:lineRule="auto"/>
        <w:ind w:firstLine="450"/>
        <w:jc w:val="both"/>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t>3.2. К деятельности Рабочей группы в соответствии с частью 2 статьи 36 Областного закона № 60-ОЗ 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 Федерации по месту пребывания и по месту жительства в пределах Российской Федерации, иных государственных органов.</w:t>
      </w:r>
    </w:p>
    <w:p w14:paraId="191F0152">
      <w:pPr>
        <w:widowControl w:val="0"/>
        <w:autoSpaceDE w:val="0"/>
        <w:autoSpaceDN w:val="0"/>
        <w:adjustRightInd w:val="0"/>
        <w:spacing w:after="0" w:line="360" w:lineRule="auto"/>
        <w:ind w:firstLine="450"/>
        <w:jc w:val="both"/>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t>3.3. 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 сроков подготовки материалов, необходимых для рассмотрения на заседаниях Комиссии, и может меняться на различных этапах деятельности Рабочей группы.</w:t>
      </w:r>
    </w:p>
    <w:p w14:paraId="558270E4">
      <w:pPr>
        <w:widowControl w:val="0"/>
        <w:autoSpaceDE w:val="0"/>
        <w:autoSpaceDN w:val="0"/>
        <w:adjustRightInd w:val="0"/>
        <w:spacing w:after="0" w:line="360" w:lineRule="auto"/>
        <w:ind w:firstLine="450"/>
        <w:jc w:val="both"/>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t>3.4. 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w:t>
      </w:r>
    </w:p>
    <w:p w14:paraId="0831CD53">
      <w:pPr>
        <w:widowControl w:val="0"/>
        <w:autoSpaceDE w:val="0"/>
        <w:autoSpaceDN w:val="0"/>
        <w:adjustRightInd w:val="0"/>
        <w:spacing w:after="0" w:line="360" w:lineRule="auto"/>
        <w:ind w:firstLine="450"/>
        <w:jc w:val="both"/>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t>3.5. 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не являющиеся членами Рабочей группы, кандидаты</w:t>
      </w:r>
      <w:r>
        <w:rPr>
          <w:rFonts w:ascii="Times New Roman" w:hAnsi="Times New Roman" w:eastAsia="Times New Roman" w:cs="Calibri"/>
          <w:sz w:val="28"/>
          <w:szCs w:val="28"/>
          <w:shd w:val="clear" w:color="auto" w:fill="FFFFFF" w:themeFill="background1"/>
          <w:lang w:eastAsia="ru-RU"/>
        </w:rPr>
        <w:t>, их уполномоченные представители или доверенные лица</w:t>
      </w:r>
      <w:r>
        <w:rPr>
          <w:rFonts w:ascii="Times New Roman" w:hAnsi="Times New Roman" w:eastAsia="Times New Roman" w:cs="Calibri"/>
          <w:sz w:val="28"/>
          <w:szCs w:val="28"/>
          <w:lang w:eastAsia="ru-RU"/>
        </w:rPr>
        <w:t>. Решения Рабочей группы принимаются большинством голосов членов Комиссии, являющихся членами Рабочей группы.</w:t>
      </w:r>
    </w:p>
    <w:p w14:paraId="799E8B3E">
      <w:pPr>
        <w:widowControl w:val="0"/>
        <w:autoSpaceDE w:val="0"/>
        <w:autoSpaceDN w:val="0"/>
        <w:adjustRightInd w:val="0"/>
        <w:spacing w:before="120" w:after="120" w:line="360" w:lineRule="auto"/>
        <w:ind w:firstLine="450"/>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Calibri"/>
          <w:sz w:val="28"/>
          <w:szCs w:val="28"/>
          <w:lang w:eastAsia="ru-RU"/>
        </w:rPr>
        <w:t>3.6. Руководитель Рабочей группы или по его поручению заместитель руководителя Рабочей группы, или член Рабочей группы – член Комиссии на заседании Комиссии представляет подготовленные на основании документов</w:t>
      </w:r>
      <w:r>
        <w:rPr>
          <w:rFonts w:ascii="Times New Roman" w:hAnsi="Times New Roman" w:eastAsia="Times New Roman" w:cs="Calibri"/>
          <w:sz w:val="28"/>
          <w:szCs w:val="28"/>
          <w:lang w:eastAsia="ru-RU"/>
        </w:rPr>
        <w:br w:type="textWrapping"/>
      </w:r>
      <w:r>
        <w:rPr>
          <w:rFonts w:ascii="Times New Roman" w:hAnsi="Times New Roman" w:eastAsia="Times New Roman" w:cs="Calibri"/>
          <w:sz w:val="28"/>
          <w:szCs w:val="28"/>
          <w:lang w:eastAsia="ru-RU"/>
        </w:rP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sectPr>
      <w:headerReference r:id="rId5" w:type="default"/>
      <w:pgSz w:w="11906" w:h="16838"/>
      <w:pgMar w:top="1134" w:right="850" w:bottom="567" w:left="1701" w:header="709" w:footer="709" w:gutter="0"/>
      <w:cols w:space="0" w:num="1"/>
      <w:titlePg/>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egoe UI">
    <w:panose1 w:val="020B0502040204020203"/>
    <w:charset w:val="CC"/>
    <w:family w:val="swiss"/>
    <w:pitch w:val="default"/>
    <w:sig w:usb0="E4002EFF" w:usb1="C000E47F" w:usb2="00000009" w:usb3="00000000" w:csb0="200001FF" w:csb1="00000000"/>
  </w:font>
  <w:font w:name="Times New Roman CYR">
    <w:altName w:val="Times New Roman"/>
    <w:panose1 w:val="02020603050405020304"/>
    <w:charset w:val="CC"/>
    <w:family w:val="roman"/>
    <w:pitch w:val="default"/>
    <w:sig w:usb0="00000000" w:usb1="00000000" w:usb2="00000009" w:usb3="00000000" w:csb0="000001FF"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1204240"/>
      <w:docPartObj>
        <w:docPartGallery w:val="autotext"/>
      </w:docPartObj>
    </w:sdtPr>
    <w:sdtEndPr>
      <w:rPr>
        <w:rFonts w:ascii="Times New Roman" w:hAnsi="Times New Roman" w:cs="Times New Roman"/>
        <w:sz w:val="24"/>
        <w:szCs w:val="24"/>
      </w:rPr>
    </w:sdtEndPr>
    <w:sdtContent>
      <w:p w14:paraId="0453DE3A">
        <w:pPr>
          <w:pStyle w:val="8"/>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rPr>
          <w:t>10</w:t>
        </w:r>
        <w:r>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5346BB"/>
    <w:multiLevelType w:val="multilevel"/>
    <w:tmpl w:val="3E5346BB"/>
    <w:lvl w:ilvl="0" w:tentative="0">
      <w:start w:val="1"/>
      <w:numFmt w:val="decimal"/>
      <w:lvlText w:val="%1."/>
      <w:lvlJc w:val="left"/>
      <w:pPr>
        <w:ind w:left="927" w:hanging="360"/>
      </w:pPr>
      <w:rPr>
        <w:rFonts w:hint="default"/>
      </w:rPr>
    </w:lvl>
    <w:lvl w:ilvl="1" w:tentative="0">
      <w:start w:val="1"/>
      <w:numFmt w:val="decimal"/>
      <w:isLgl/>
      <w:lvlText w:val="%1.%2."/>
      <w:lvlJc w:val="left"/>
      <w:pPr>
        <w:ind w:left="1287" w:hanging="720"/>
      </w:pPr>
      <w:rPr>
        <w:rFonts w:hint="default"/>
      </w:rPr>
    </w:lvl>
    <w:lvl w:ilvl="2" w:tentative="0">
      <w:start w:val="1"/>
      <w:numFmt w:val="decimal"/>
      <w:isLgl/>
      <w:lvlText w:val="%1.%2.%3."/>
      <w:lvlJc w:val="left"/>
      <w:pPr>
        <w:ind w:left="1287" w:hanging="720"/>
      </w:pPr>
      <w:rPr>
        <w:rFonts w:hint="default"/>
      </w:rPr>
    </w:lvl>
    <w:lvl w:ilvl="3" w:tentative="0">
      <w:start w:val="1"/>
      <w:numFmt w:val="decimal"/>
      <w:isLgl/>
      <w:lvlText w:val="%1.%2.%3.%4."/>
      <w:lvlJc w:val="left"/>
      <w:pPr>
        <w:ind w:left="1647" w:hanging="1080"/>
      </w:pPr>
      <w:rPr>
        <w:rFonts w:hint="default"/>
      </w:rPr>
    </w:lvl>
    <w:lvl w:ilvl="4" w:tentative="0">
      <w:start w:val="1"/>
      <w:numFmt w:val="decimal"/>
      <w:isLgl/>
      <w:lvlText w:val="%1.%2.%3.%4.%5."/>
      <w:lvlJc w:val="left"/>
      <w:pPr>
        <w:ind w:left="1647" w:hanging="1080"/>
      </w:pPr>
      <w:rPr>
        <w:rFonts w:hint="default"/>
      </w:rPr>
    </w:lvl>
    <w:lvl w:ilvl="5" w:tentative="0">
      <w:start w:val="1"/>
      <w:numFmt w:val="decimal"/>
      <w:isLgl/>
      <w:lvlText w:val="%1.%2.%3.%4.%5.%6."/>
      <w:lvlJc w:val="left"/>
      <w:pPr>
        <w:ind w:left="2007" w:hanging="1440"/>
      </w:pPr>
      <w:rPr>
        <w:rFonts w:hint="default"/>
      </w:rPr>
    </w:lvl>
    <w:lvl w:ilvl="6" w:tentative="0">
      <w:start w:val="1"/>
      <w:numFmt w:val="decimal"/>
      <w:isLgl/>
      <w:lvlText w:val="%1.%2.%3.%4.%5.%6.%7."/>
      <w:lvlJc w:val="left"/>
      <w:pPr>
        <w:ind w:left="2367" w:hanging="1800"/>
      </w:pPr>
      <w:rPr>
        <w:rFonts w:hint="default"/>
      </w:rPr>
    </w:lvl>
    <w:lvl w:ilvl="7" w:tentative="0">
      <w:start w:val="1"/>
      <w:numFmt w:val="decimal"/>
      <w:isLgl/>
      <w:lvlText w:val="%1.%2.%3.%4.%5.%6.%7.%8."/>
      <w:lvlJc w:val="left"/>
      <w:pPr>
        <w:ind w:left="2367" w:hanging="1800"/>
      </w:pPr>
      <w:rPr>
        <w:rFonts w:hint="default"/>
      </w:rPr>
    </w:lvl>
    <w:lvl w:ilvl="8" w:tentative="0">
      <w:start w:val="1"/>
      <w:numFmt w:val="decimal"/>
      <w:isLgl/>
      <w:lvlText w:val="%1.%2.%3.%4.%5.%6.%7.%8.%9."/>
      <w:lvlJc w:val="left"/>
      <w:pPr>
        <w:ind w:left="2727" w:hanging="2160"/>
      </w:pPr>
      <w:rPr>
        <w:rFonts w:hint="default"/>
      </w:rPr>
    </w:lvl>
  </w:abstractNum>
  <w:abstractNum w:abstractNumId="1">
    <w:nsid w:val="79E87C78"/>
    <w:multiLevelType w:val="multilevel"/>
    <w:tmpl w:val="79E87C78"/>
    <w:lvl w:ilvl="0" w:tentative="0">
      <w:start w:val="3"/>
      <w:numFmt w:val="decimal"/>
      <w:lvlText w:val="%1."/>
      <w:lvlJc w:val="left"/>
      <w:pPr>
        <w:ind w:left="450" w:hanging="450"/>
      </w:pPr>
      <w:rPr>
        <w:rFonts w:hint="default"/>
      </w:rPr>
    </w:lvl>
    <w:lvl w:ilvl="1" w:tentative="0">
      <w:start w:val="1"/>
      <w:numFmt w:val="decimal"/>
      <w:lvlText w:val="%1.%2."/>
      <w:lvlJc w:val="left"/>
      <w:pPr>
        <w:ind w:left="720" w:hanging="720"/>
      </w:pPr>
      <w:rPr>
        <w:rFonts w:hint="default"/>
      </w:rPr>
    </w:lvl>
    <w:lvl w:ilvl="2" w:tentative="0">
      <w:start w:val="1"/>
      <w:numFmt w:val="decimal"/>
      <w:lvlText w:val="%1.%2.%3."/>
      <w:lvlJc w:val="left"/>
      <w:pPr>
        <w:ind w:left="10358" w:hanging="720"/>
      </w:pPr>
      <w:rPr>
        <w:rFonts w:hint="default"/>
      </w:rPr>
    </w:lvl>
    <w:lvl w:ilvl="3" w:tentative="0">
      <w:start w:val="1"/>
      <w:numFmt w:val="decimal"/>
      <w:lvlText w:val="%1.%2.%3.%4."/>
      <w:lvlJc w:val="left"/>
      <w:pPr>
        <w:ind w:left="15537" w:hanging="1080"/>
      </w:pPr>
      <w:rPr>
        <w:rFonts w:hint="default"/>
      </w:rPr>
    </w:lvl>
    <w:lvl w:ilvl="4" w:tentative="0">
      <w:start w:val="1"/>
      <w:numFmt w:val="decimal"/>
      <w:lvlText w:val="%1.%2.%3.%4.%5."/>
      <w:lvlJc w:val="left"/>
      <w:pPr>
        <w:ind w:left="20356" w:hanging="1080"/>
      </w:pPr>
      <w:rPr>
        <w:rFonts w:hint="default"/>
      </w:rPr>
    </w:lvl>
    <w:lvl w:ilvl="5" w:tentative="0">
      <w:start w:val="1"/>
      <w:numFmt w:val="decimal"/>
      <w:lvlText w:val="%1.%2.%3.%4.%5.%6."/>
      <w:lvlJc w:val="left"/>
      <w:pPr>
        <w:ind w:left="25535" w:hanging="1440"/>
      </w:pPr>
      <w:rPr>
        <w:rFonts w:hint="default"/>
      </w:rPr>
    </w:lvl>
    <w:lvl w:ilvl="6" w:tentative="0">
      <w:start w:val="1"/>
      <w:numFmt w:val="decimal"/>
      <w:lvlText w:val="%1.%2.%3.%4.%5.%6.%7."/>
      <w:lvlJc w:val="left"/>
      <w:pPr>
        <w:ind w:left="30714" w:hanging="1800"/>
      </w:pPr>
      <w:rPr>
        <w:rFonts w:hint="default"/>
      </w:rPr>
    </w:lvl>
    <w:lvl w:ilvl="7" w:tentative="0">
      <w:start w:val="1"/>
      <w:numFmt w:val="decimal"/>
      <w:lvlText w:val="%1.%2.%3.%4.%5.%6.%7.%8."/>
      <w:lvlJc w:val="left"/>
      <w:pPr>
        <w:ind w:left="-30003" w:hanging="1800"/>
      </w:pPr>
      <w:rPr>
        <w:rFonts w:hint="default"/>
      </w:rPr>
    </w:lvl>
    <w:lvl w:ilvl="8" w:tentative="0">
      <w:start w:val="1"/>
      <w:numFmt w:val="decimal"/>
      <w:lvlText w:val="%1.%2.%3.%4.%5.%6.%7.%8.%9."/>
      <w:lvlJc w:val="left"/>
      <w:pPr>
        <w:ind w:left="-24824"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2CB"/>
    <w:rsid w:val="00013483"/>
    <w:rsid w:val="000315EB"/>
    <w:rsid w:val="00031EA6"/>
    <w:rsid w:val="0006162F"/>
    <w:rsid w:val="000E4324"/>
    <w:rsid w:val="00142245"/>
    <w:rsid w:val="00151193"/>
    <w:rsid w:val="00151923"/>
    <w:rsid w:val="00165560"/>
    <w:rsid w:val="00170EAC"/>
    <w:rsid w:val="001841A1"/>
    <w:rsid w:val="00186243"/>
    <w:rsid w:val="001A2EAE"/>
    <w:rsid w:val="001C185B"/>
    <w:rsid w:val="001C66A3"/>
    <w:rsid w:val="00202D14"/>
    <w:rsid w:val="0021339B"/>
    <w:rsid w:val="0023635D"/>
    <w:rsid w:val="00266454"/>
    <w:rsid w:val="002671BA"/>
    <w:rsid w:val="002C3963"/>
    <w:rsid w:val="002D07A6"/>
    <w:rsid w:val="002E1CF6"/>
    <w:rsid w:val="002E448C"/>
    <w:rsid w:val="002F44AC"/>
    <w:rsid w:val="00320D51"/>
    <w:rsid w:val="0035272E"/>
    <w:rsid w:val="00362A75"/>
    <w:rsid w:val="003B6890"/>
    <w:rsid w:val="003E3BFB"/>
    <w:rsid w:val="003E7AEB"/>
    <w:rsid w:val="003E7EBD"/>
    <w:rsid w:val="003F1913"/>
    <w:rsid w:val="003F4911"/>
    <w:rsid w:val="00427CC5"/>
    <w:rsid w:val="00456075"/>
    <w:rsid w:val="00491FEF"/>
    <w:rsid w:val="004B5DEA"/>
    <w:rsid w:val="004B7809"/>
    <w:rsid w:val="004F60D6"/>
    <w:rsid w:val="00574159"/>
    <w:rsid w:val="005A051C"/>
    <w:rsid w:val="005B4E70"/>
    <w:rsid w:val="005E3ABD"/>
    <w:rsid w:val="00623460"/>
    <w:rsid w:val="006561ED"/>
    <w:rsid w:val="00660059"/>
    <w:rsid w:val="00664098"/>
    <w:rsid w:val="006B3F22"/>
    <w:rsid w:val="006C18AD"/>
    <w:rsid w:val="006E61D4"/>
    <w:rsid w:val="006F47CA"/>
    <w:rsid w:val="00761816"/>
    <w:rsid w:val="007A7A05"/>
    <w:rsid w:val="007B6FD4"/>
    <w:rsid w:val="007D7956"/>
    <w:rsid w:val="00806787"/>
    <w:rsid w:val="008067B8"/>
    <w:rsid w:val="008073DE"/>
    <w:rsid w:val="008519C4"/>
    <w:rsid w:val="00863CB7"/>
    <w:rsid w:val="00877021"/>
    <w:rsid w:val="008E59DE"/>
    <w:rsid w:val="008F15C6"/>
    <w:rsid w:val="008F2C26"/>
    <w:rsid w:val="008F7370"/>
    <w:rsid w:val="00906363"/>
    <w:rsid w:val="00911E1B"/>
    <w:rsid w:val="00945032"/>
    <w:rsid w:val="00952E75"/>
    <w:rsid w:val="0095505C"/>
    <w:rsid w:val="00956B1A"/>
    <w:rsid w:val="00991EDB"/>
    <w:rsid w:val="009B281E"/>
    <w:rsid w:val="009C6653"/>
    <w:rsid w:val="009D0F77"/>
    <w:rsid w:val="009D6656"/>
    <w:rsid w:val="009F0869"/>
    <w:rsid w:val="00A14F9A"/>
    <w:rsid w:val="00A176AA"/>
    <w:rsid w:val="00A31039"/>
    <w:rsid w:val="00A53F86"/>
    <w:rsid w:val="00A71F25"/>
    <w:rsid w:val="00AA1882"/>
    <w:rsid w:val="00AD5F9E"/>
    <w:rsid w:val="00B0249C"/>
    <w:rsid w:val="00B159E8"/>
    <w:rsid w:val="00B25532"/>
    <w:rsid w:val="00B33686"/>
    <w:rsid w:val="00B52DCD"/>
    <w:rsid w:val="00B52FB3"/>
    <w:rsid w:val="00B76315"/>
    <w:rsid w:val="00B91C34"/>
    <w:rsid w:val="00BB3007"/>
    <w:rsid w:val="00BC7EC5"/>
    <w:rsid w:val="00BD0D91"/>
    <w:rsid w:val="00BD42CB"/>
    <w:rsid w:val="00C01557"/>
    <w:rsid w:val="00C24E7A"/>
    <w:rsid w:val="00C51092"/>
    <w:rsid w:val="00C671EE"/>
    <w:rsid w:val="00C817CC"/>
    <w:rsid w:val="00C83A76"/>
    <w:rsid w:val="00C9280E"/>
    <w:rsid w:val="00CB74E6"/>
    <w:rsid w:val="00CB795F"/>
    <w:rsid w:val="00CD72A5"/>
    <w:rsid w:val="00CD79DC"/>
    <w:rsid w:val="00CF7943"/>
    <w:rsid w:val="00D051F3"/>
    <w:rsid w:val="00D11659"/>
    <w:rsid w:val="00D20146"/>
    <w:rsid w:val="00DB44EC"/>
    <w:rsid w:val="00DD18F1"/>
    <w:rsid w:val="00DD39A7"/>
    <w:rsid w:val="00DE3BF7"/>
    <w:rsid w:val="00DF4E60"/>
    <w:rsid w:val="00E55ACD"/>
    <w:rsid w:val="00E618AB"/>
    <w:rsid w:val="00E63A6F"/>
    <w:rsid w:val="00E6584A"/>
    <w:rsid w:val="00E73572"/>
    <w:rsid w:val="00E82222"/>
    <w:rsid w:val="00EA580F"/>
    <w:rsid w:val="00ED4370"/>
    <w:rsid w:val="00EE02CB"/>
    <w:rsid w:val="00F30E98"/>
    <w:rsid w:val="00F33BE5"/>
    <w:rsid w:val="00F571EC"/>
    <w:rsid w:val="00F766D6"/>
    <w:rsid w:val="00F92056"/>
    <w:rsid w:val="00F9546C"/>
    <w:rsid w:val="00FB3E26"/>
    <w:rsid w:val="00FC75A4"/>
    <w:rsid w:val="00FD272B"/>
    <w:rsid w:val="00FE5A56"/>
    <w:rsid w:val="00FE6021"/>
    <w:rsid w:val="123E6E75"/>
    <w:rsid w:val="19F074A8"/>
    <w:rsid w:val="2FAD7B9F"/>
    <w:rsid w:val="5EDC084B"/>
    <w:rsid w:val="672D18B5"/>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11"/>
    <w:qFormat/>
    <w:uiPriority w:val="9"/>
    <w:pPr>
      <w:keepNext/>
      <w:keepLines/>
      <w:spacing w:before="240" w:after="0"/>
      <w:outlineLvl w:val="0"/>
    </w:pPr>
    <w:rPr>
      <w:rFonts w:asciiTheme="majorHAnsi" w:hAnsiTheme="majorHAnsi" w:eastAsiaTheme="majorEastAsia" w:cstheme="majorBidi"/>
      <w:color w:val="2F5597" w:themeColor="accent1" w:themeShade="BF"/>
      <w:sz w:val="32"/>
      <w:szCs w:val="32"/>
    </w:rPr>
  </w:style>
  <w:style w:type="paragraph" w:styleId="3">
    <w:name w:val="heading 2"/>
    <w:basedOn w:val="1"/>
    <w:link w:val="12"/>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lang w:eastAsia="ru-RU"/>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14"/>
    <w:semiHidden/>
    <w:unhideWhenUsed/>
    <w:qFormat/>
    <w:uiPriority w:val="99"/>
    <w:pPr>
      <w:spacing w:after="0" w:line="240" w:lineRule="auto"/>
    </w:pPr>
    <w:rPr>
      <w:rFonts w:ascii="Segoe UI" w:hAnsi="Segoe UI" w:cs="Segoe UI"/>
      <w:sz w:val="18"/>
      <w:szCs w:val="18"/>
    </w:rPr>
  </w:style>
  <w:style w:type="paragraph" w:styleId="7">
    <w:name w:val="caption"/>
    <w:basedOn w:val="1"/>
    <w:next w:val="1"/>
    <w:qFormat/>
    <w:uiPriority w:val="0"/>
    <w:pPr>
      <w:spacing w:after="0" w:line="240" w:lineRule="auto"/>
    </w:pPr>
    <w:rPr>
      <w:rFonts w:ascii="Times New Roman" w:hAnsi="Times New Roman" w:eastAsia="Times New Roman" w:cs="Times New Roman"/>
      <w:sz w:val="24"/>
      <w:szCs w:val="20"/>
      <w:lang w:eastAsia="ru-RU"/>
    </w:rPr>
  </w:style>
  <w:style w:type="paragraph" w:styleId="8">
    <w:name w:val="header"/>
    <w:basedOn w:val="1"/>
    <w:link w:val="15"/>
    <w:unhideWhenUsed/>
    <w:qFormat/>
    <w:uiPriority w:val="99"/>
    <w:pPr>
      <w:tabs>
        <w:tab w:val="center" w:pos="4677"/>
        <w:tab w:val="right" w:pos="9355"/>
      </w:tabs>
      <w:spacing w:after="0" w:line="240" w:lineRule="auto"/>
    </w:pPr>
  </w:style>
  <w:style w:type="paragraph" w:styleId="9">
    <w:name w:val="Body Text"/>
    <w:basedOn w:val="1"/>
    <w:link w:val="17"/>
    <w:qFormat/>
    <w:uiPriority w:val="0"/>
    <w:pPr>
      <w:spacing w:after="0" w:line="240" w:lineRule="auto"/>
      <w:jc w:val="both"/>
    </w:pPr>
    <w:rPr>
      <w:rFonts w:ascii="Times New Roman" w:hAnsi="Times New Roman" w:eastAsia="Times New Roman" w:cs="Times New Roman"/>
      <w:sz w:val="28"/>
      <w:szCs w:val="20"/>
      <w:lang w:eastAsia="ru-RU"/>
    </w:rPr>
  </w:style>
  <w:style w:type="paragraph" w:styleId="10">
    <w:name w:val="footer"/>
    <w:basedOn w:val="1"/>
    <w:link w:val="16"/>
    <w:unhideWhenUsed/>
    <w:qFormat/>
    <w:uiPriority w:val="99"/>
    <w:pPr>
      <w:tabs>
        <w:tab w:val="center" w:pos="4677"/>
        <w:tab w:val="right" w:pos="9355"/>
      </w:tabs>
      <w:spacing w:after="0" w:line="240" w:lineRule="auto"/>
    </w:pPr>
  </w:style>
  <w:style w:type="character" w:customStyle="1" w:styleId="11">
    <w:name w:val="Заголовок 1 Знак"/>
    <w:basedOn w:val="4"/>
    <w:link w:val="2"/>
    <w:qFormat/>
    <w:uiPriority w:val="9"/>
    <w:rPr>
      <w:rFonts w:asciiTheme="majorHAnsi" w:hAnsiTheme="majorHAnsi" w:eastAsiaTheme="majorEastAsia" w:cstheme="majorBidi"/>
      <w:color w:val="2F5597" w:themeColor="accent1" w:themeShade="BF"/>
      <w:sz w:val="32"/>
      <w:szCs w:val="32"/>
    </w:rPr>
  </w:style>
  <w:style w:type="character" w:customStyle="1" w:styleId="12">
    <w:name w:val="Заголовок 2 Знак"/>
    <w:basedOn w:val="4"/>
    <w:link w:val="3"/>
    <w:qFormat/>
    <w:uiPriority w:val="9"/>
    <w:rPr>
      <w:rFonts w:ascii="Times New Roman" w:hAnsi="Times New Roman" w:eastAsia="Times New Roman" w:cs="Times New Roman"/>
      <w:b/>
      <w:bCs/>
      <w:sz w:val="36"/>
      <w:szCs w:val="36"/>
      <w:lang w:eastAsia="ru-RU"/>
    </w:rPr>
  </w:style>
  <w:style w:type="paragraph" w:styleId="13">
    <w:name w:val="List Paragraph"/>
    <w:basedOn w:val="1"/>
    <w:qFormat/>
    <w:uiPriority w:val="34"/>
    <w:pPr>
      <w:ind w:left="720"/>
      <w:contextualSpacing/>
    </w:pPr>
  </w:style>
  <w:style w:type="character" w:customStyle="1" w:styleId="14">
    <w:name w:val="Текст выноски Знак"/>
    <w:basedOn w:val="4"/>
    <w:link w:val="6"/>
    <w:semiHidden/>
    <w:qFormat/>
    <w:uiPriority w:val="99"/>
    <w:rPr>
      <w:rFonts w:ascii="Segoe UI" w:hAnsi="Segoe UI" w:cs="Segoe UI"/>
      <w:sz w:val="18"/>
      <w:szCs w:val="18"/>
    </w:rPr>
  </w:style>
  <w:style w:type="character" w:customStyle="1" w:styleId="15">
    <w:name w:val="Верхний колонтитул Знак"/>
    <w:basedOn w:val="4"/>
    <w:link w:val="8"/>
    <w:qFormat/>
    <w:uiPriority w:val="99"/>
  </w:style>
  <w:style w:type="character" w:customStyle="1" w:styleId="16">
    <w:name w:val="Нижний колонтитул Знак"/>
    <w:basedOn w:val="4"/>
    <w:link w:val="10"/>
    <w:uiPriority w:val="99"/>
  </w:style>
  <w:style w:type="character" w:customStyle="1" w:styleId="17">
    <w:name w:val="Основной текст Знак"/>
    <w:basedOn w:val="4"/>
    <w:link w:val="9"/>
    <w:qFormat/>
    <w:uiPriority w:val="0"/>
    <w:rPr>
      <w:rFonts w:ascii="Times New Roman" w:hAnsi="Times New Roman" w:eastAsia="Times New Roman" w:cs="Times New Roman"/>
      <w:sz w:val="28"/>
      <w:szCs w:val="20"/>
      <w:lang w:eastAsia="ru-RU"/>
    </w:rPr>
  </w:style>
  <w:style w:type="paragraph" w:customStyle="1" w:styleId="18">
    <w:name w:val="14-15"/>
    <w:basedOn w:val="1"/>
    <w:qFormat/>
    <w:uiPriority w:val="0"/>
    <w:pPr>
      <w:spacing w:line="360" w:lineRule="auto"/>
      <w:ind w:firstLine="709"/>
    </w:pPr>
    <w:rPr>
      <w:rFonts w:eastAsia="Calibri"/>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22DFB-373C-44A5-8587-B9DA7DE4BA13}">
  <ds:schemaRefs/>
</ds:datastoreItem>
</file>

<file path=docProps/app.xml><?xml version="1.0" encoding="utf-8"?>
<Properties xmlns="http://schemas.openxmlformats.org/officeDocument/2006/extended-properties" xmlns:vt="http://schemas.openxmlformats.org/officeDocument/2006/docPropsVTypes">
  <Template>Normal.dotm</Template>
  <Company>Reanimator Extreme Edition</Company>
  <Pages>7</Pages>
  <Words>1813</Words>
  <Characters>10335</Characters>
  <Lines>86</Lines>
  <Paragraphs>24</Paragraphs>
  <TotalTime>29</TotalTime>
  <ScaleCrop>false</ScaleCrop>
  <LinksUpToDate>false</LinksUpToDate>
  <CharactersWithSpaces>12124</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2025-05-30T07:12:00Z</dcterms:created>
  <dc:creator>User</dc:creator>
  <cp:lastModifiedBy>User</cp:lastModifiedBy>
  <cp:lastPrinted>2025-06-19T07:12:00Z</cp:lastPrinted>
  <dcterms:modified xsi:type="dcterms:W3CDTF">2025-06-26T05:51:42Z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631AE226D6F5403EAFCE7744E989D315_13</vt:lpwstr>
  </property>
</Properties>
</file>