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7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641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5</w:t>
      </w:r>
    </w:p>
    <w:p w14:paraId="7577A3FB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 xml:space="preserve">Широких Анны Валерьевны 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5 Широких Анны Валерьевны требованиям Закона Липецкой области от 06 июня 2007 года № 60-ОЗ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5 Широких Анну Валерьевну, 08 января 1978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7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03</w:t>
      </w:r>
      <w:r>
        <w:rPr>
          <w:rFonts w:ascii="Times New Roman CYR" w:hAnsi="Times New Roman CYR"/>
          <w:sz w:val="28"/>
        </w:rPr>
        <w:t xml:space="preserve"> минут</w:t>
      </w:r>
      <w:r>
        <w:rPr>
          <w:rFonts w:ascii="Times New Roman CYR" w:hAnsi="Times New Roman CYR"/>
          <w:sz w:val="28"/>
          <w:lang w:val="ru-RU"/>
        </w:rPr>
        <w:t>ы</w:t>
      </w:r>
      <w:bookmarkStart w:id="2" w:name="_GoBack"/>
      <w:bookmarkEnd w:id="2"/>
      <w:r>
        <w:rPr>
          <w:rFonts w:ascii="Times New Roman CYR" w:hAnsi="Times New Roman CYR"/>
          <w:sz w:val="28"/>
        </w:rPr>
        <w:t>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Широких Анне Валерьевне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2E97"/>
    <w:rsid w:val="00304AFE"/>
    <w:rsid w:val="0031449A"/>
    <w:rsid w:val="00323B54"/>
    <w:rsid w:val="003303F0"/>
    <w:rsid w:val="00376D2B"/>
    <w:rsid w:val="00390121"/>
    <w:rsid w:val="00391805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C23AA"/>
    <w:rsid w:val="004D05E7"/>
    <w:rsid w:val="004D34C3"/>
    <w:rsid w:val="004E3E5E"/>
    <w:rsid w:val="004F4285"/>
    <w:rsid w:val="0050504B"/>
    <w:rsid w:val="00505545"/>
    <w:rsid w:val="005460BF"/>
    <w:rsid w:val="005A676D"/>
    <w:rsid w:val="005B6BE7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13EB8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C69D7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56B8E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16F225E0"/>
    <w:rsid w:val="40E341D2"/>
    <w:rsid w:val="457B118A"/>
    <w:rsid w:val="50E12185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70F55-468A-4DA8-95FA-16B69F53BE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274</Words>
  <Characters>2031</Characters>
  <Lines>16</Lines>
  <Paragraphs>4</Paragraphs>
  <TotalTime>6</TotalTime>
  <ScaleCrop>false</ScaleCrop>
  <LinksUpToDate>false</LinksUpToDate>
  <CharactersWithSpaces>2301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2025-08-07T14:53:17Z</dcterms:modified>
  <dc:title>ИЗБИРАТЕЛЬНАЯ КОМИССИЯ ЛИПЕЦКОЙ ОБЛАСТИ</dc:title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